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50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934"/>
        <w:gridCol w:w="5571"/>
      </w:tblGrid>
      <w:tr w:rsidR="00577B9D" w:rsidTr="00577B9D">
        <w:trPr>
          <w:jc w:val="center"/>
        </w:trPr>
        <w:tc>
          <w:tcPr>
            <w:tcW w:w="2934" w:type="dxa"/>
            <w:hideMark/>
          </w:tcPr>
          <w:p w:rsidR="00577B9D" w:rsidRDefault="00577B9D" w:rsidP="00577B9D">
            <w:pPr>
              <w:bidi w:val="0"/>
              <w:jc w:val="right"/>
              <w:rPr>
                <w:rFonts w:ascii="Arial" w:hAnsi="Arial"/>
                <w:b/>
                <w:bCs/>
                <w:noProof w:val="0"/>
                <w:sz w:val="26"/>
                <w:szCs w:val="26"/>
              </w:rPr>
            </w:pPr>
            <w:bookmarkStart w:id="0" w:name="_GoBack"/>
            <w:bookmarkEnd w:id="0"/>
            <w:r>
              <w:rPr>
                <w:rFonts w:ascii="Arial" w:hAnsi="Arial"/>
                <w:b/>
                <w:bCs/>
                <w:noProof w:val="0"/>
                <w:sz w:val="26"/>
                <w:szCs w:val="26"/>
                <w:rtl/>
              </w:rPr>
              <w:t>התובעת:</w:t>
            </w:r>
          </w:p>
        </w:tc>
        <w:tc>
          <w:tcPr>
            <w:tcW w:w="5571" w:type="dxa"/>
            <w:hideMark/>
          </w:tcPr>
          <w:p w:rsidR="00577B9D" w:rsidRPr="00E811F7" w:rsidRDefault="00E811F7">
            <w:pPr>
              <w:rPr>
                <w:b/>
                <w:bCs/>
                <w:sz w:val="26"/>
                <w:szCs w:val="26"/>
                <w:rtl/>
              </w:rPr>
            </w:pPr>
            <w:r w:rsidRPr="00E811F7">
              <w:rPr>
                <w:rFonts w:hint="cs"/>
                <w:b/>
                <w:bCs/>
                <w:sz w:val="26"/>
                <w:szCs w:val="26"/>
                <w:rtl/>
              </w:rPr>
              <w:t>פלונית</w:t>
            </w:r>
          </w:p>
          <w:p w:rsidR="00577B9D" w:rsidRDefault="00577B9D">
            <w:pPr>
              <w:rPr>
                <w:noProof w:val="0"/>
                <w:sz w:val="26"/>
                <w:szCs w:val="26"/>
                <w:rtl/>
              </w:rPr>
            </w:pPr>
            <w:r>
              <w:rPr>
                <w:rtl/>
              </w:rPr>
              <w:t>ע"י עו"ד איריס בייר</w:t>
            </w:r>
          </w:p>
        </w:tc>
      </w:tr>
      <w:tr w:rsidR="00577B9D" w:rsidTr="00577B9D">
        <w:trPr>
          <w:jc w:val="center"/>
        </w:trPr>
        <w:tc>
          <w:tcPr>
            <w:tcW w:w="8505" w:type="dxa"/>
            <w:gridSpan w:val="2"/>
          </w:tcPr>
          <w:p w:rsidR="00577B9D" w:rsidRDefault="00577B9D">
            <w:pPr>
              <w:rPr>
                <w:rFonts w:ascii="Arial" w:hAnsi="Arial"/>
                <w:b/>
                <w:bCs/>
                <w:noProof w:val="0"/>
                <w:sz w:val="26"/>
                <w:szCs w:val="26"/>
              </w:rPr>
            </w:pPr>
          </w:p>
          <w:p w:rsidR="00577B9D" w:rsidRDefault="00577B9D">
            <w:pPr>
              <w:jc w:val="center"/>
              <w:rPr>
                <w:rFonts w:ascii="Arial" w:hAnsi="Arial"/>
                <w:b/>
                <w:bCs/>
                <w:noProof w:val="0"/>
                <w:sz w:val="26"/>
                <w:szCs w:val="26"/>
                <w:rtl/>
              </w:rPr>
            </w:pPr>
            <w:r>
              <w:rPr>
                <w:rFonts w:ascii="Arial" w:hAnsi="Arial"/>
                <w:b/>
                <w:bCs/>
                <w:noProof w:val="0"/>
                <w:sz w:val="26"/>
                <w:szCs w:val="26"/>
                <w:rtl/>
              </w:rPr>
              <w:t>נגד</w:t>
            </w:r>
          </w:p>
          <w:p w:rsidR="00577B9D" w:rsidRDefault="00577B9D">
            <w:pPr>
              <w:rPr>
                <w:rFonts w:ascii="Arial" w:hAnsi="Arial"/>
                <w:b/>
                <w:bCs/>
                <w:noProof w:val="0"/>
                <w:sz w:val="26"/>
                <w:szCs w:val="26"/>
                <w:rtl/>
              </w:rPr>
            </w:pPr>
          </w:p>
        </w:tc>
      </w:tr>
      <w:tr w:rsidR="00577B9D" w:rsidTr="00577B9D">
        <w:trPr>
          <w:jc w:val="center"/>
        </w:trPr>
        <w:tc>
          <w:tcPr>
            <w:tcW w:w="2934" w:type="dxa"/>
            <w:hideMark/>
          </w:tcPr>
          <w:p w:rsidR="00577B9D" w:rsidRDefault="00577B9D">
            <w:pPr>
              <w:rPr>
                <w:rFonts w:ascii="Arial" w:hAnsi="Arial"/>
                <w:b/>
                <w:bCs/>
                <w:noProof w:val="0"/>
                <w:sz w:val="26"/>
                <w:szCs w:val="26"/>
              </w:rPr>
            </w:pPr>
            <w:r>
              <w:rPr>
                <w:rFonts w:ascii="Arial" w:hAnsi="Arial"/>
                <w:b/>
                <w:bCs/>
                <w:noProof w:val="0"/>
                <w:sz w:val="26"/>
                <w:szCs w:val="26"/>
                <w:rtl/>
              </w:rPr>
              <w:t>הנתבעים:</w:t>
            </w:r>
          </w:p>
        </w:tc>
        <w:tc>
          <w:tcPr>
            <w:tcW w:w="5571" w:type="dxa"/>
            <w:hideMark/>
          </w:tcPr>
          <w:p w:rsidR="00577B9D" w:rsidRDefault="00841831" w:rsidP="00E811F7">
            <w:pPr>
              <w:rPr>
                <w:b/>
                <w:bCs/>
                <w:noProof w:val="0"/>
                <w:sz w:val="26"/>
                <w:szCs w:val="26"/>
              </w:rPr>
            </w:pPr>
            <w:sdt>
              <w:sdtPr>
                <w:rPr>
                  <w:rtl/>
                </w:rPr>
                <w:alias w:val="1571"/>
                <w:tag w:val="1571"/>
                <w:id w:val="1025678926"/>
                <w:text w:multiLine="1"/>
              </w:sdtPr>
              <w:sdtEndPr/>
              <w:sdtContent>
                <w:r w:rsidR="00577B9D">
                  <w:rPr>
                    <w:rFonts w:ascii="Arial" w:hAnsi="Arial"/>
                    <w:b/>
                    <w:bCs/>
                    <w:noProof w:val="0"/>
                    <w:sz w:val="26"/>
                    <w:szCs w:val="26"/>
                    <w:rtl/>
                  </w:rPr>
                  <w:t>1</w:t>
                </w:r>
              </w:sdtContent>
            </w:sdt>
            <w:r w:rsidR="00577B9D">
              <w:rPr>
                <w:rFonts w:ascii="Arial" w:hAnsi="Arial"/>
                <w:b/>
                <w:bCs/>
                <w:noProof w:val="0"/>
                <w:sz w:val="26"/>
                <w:szCs w:val="26"/>
                <w:rtl/>
              </w:rPr>
              <w:t xml:space="preserve">. </w:t>
            </w:r>
            <w:r w:rsidR="00E811F7">
              <w:rPr>
                <w:rFonts w:ascii="Arial" w:hAnsi="Arial" w:hint="cs"/>
                <w:b/>
                <w:bCs/>
                <w:noProof w:val="0"/>
                <w:sz w:val="26"/>
                <w:szCs w:val="26"/>
                <w:rtl/>
              </w:rPr>
              <w:t xml:space="preserve">פלוני </w:t>
            </w:r>
          </w:p>
          <w:p w:rsidR="00577B9D" w:rsidRDefault="00841831" w:rsidP="00E811F7">
            <w:pPr>
              <w:rPr>
                <w:b/>
                <w:bCs/>
                <w:noProof w:val="0"/>
                <w:sz w:val="26"/>
                <w:szCs w:val="26"/>
                <w:rtl/>
              </w:rPr>
            </w:pPr>
            <w:sdt>
              <w:sdtPr>
                <w:rPr>
                  <w:rtl/>
                </w:rPr>
                <w:alias w:val="1571"/>
                <w:tag w:val="1571"/>
                <w:id w:val="140780108"/>
                <w:text w:multiLine="1"/>
              </w:sdtPr>
              <w:sdtEndPr/>
              <w:sdtContent>
                <w:r w:rsidR="00577B9D">
                  <w:rPr>
                    <w:rFonts w:ascii="Arial" w:hAnsi="Arial"/>
                    <w:b/>
                    <w:bCs/>
                    <w:noProof w:val="0"/>
                    <w:sz w:val="26"/>
                    <w:szCs w:val="26"/>
                    <w:rtl/>
                  </w:rPr>
                  <w:t>2</w:t>
                </w:r>
              </w:sdtContent>
            </w:sdt>
            <w:r w:rsidR="00577B9D">
              <w:rPr>
                <w:rFonts w:ascii="Arial" w:hAnsi="Arial"/>
                <w:b/>
                <w:bCs/>
                <w:noProof w:val="0"/>
                <w:sz w:val="26"/>
                <w:szCs w:val="26"/>
                <w:rtl/>
              </w:rPr>
              <w:t xml:space="preserve">. </w:t>
            </w:r>
            <w:r w:rsidR="00E811F7" w:rsidRPr="00E811F7">
              <w:rPr>
                <w:rFonts w:hint="cs"/>
                <w:b/>
                <w:bCs/>
                <w:sz w:val="26"/>
                <w:szCs w:val="26"/>
                <w:rtl/>
              </w:rPr>
              <w:t>פלונית</w:t>
            </w:r>
          </w:p>
          <w:p w:rsidR="00577B9D" w:rsidRDefault="00841831" w:rsidP="00E811F7">
            <w:pPr>
              <w:rPr>
                <w:b/>
                <w:bCs/>
                <w:noProof w:val="0"/>
                <w:sz w:val="26"/>
                <w:szCs w:val="26"/>
                <w:rtl/>
              </w:rPr>
            </w:pPr>
            <w:sdt>
              <w:sdtPr>
                <w:rPr>
                  <w:rtl/>
                </w:rPr>
                <w:alias w:val="1571"/>
                <w:tag w:val="1571"/>
                <w:id w:val="-1192679314"/>
                <w:text w:multiLine="1"/>
              </w:sdtPr>
              <w:sdtEndPr/>
              <w:sdtContent>
                <w:r w:rsidR="00577B9D">
                  <w:rPr>
                    <w:rFonts w:ascii="Arial" w:hAnsi="Arial"/>
                    <w:b/>
                    <w:bCs/>
                    <w:noProof w:val="0"/>
                    <w:sz w:val="26"/>
                    <w:szCs w:val="26"/>
                    <w:rtl/>
                  </w:rPr>
                  <w:t>3</w:t>
                </w:r>
              </w:sdtContent>
            </w:sdt>
            <w:r w:rsidR="00577B9D">
              <w:rPr>
                <w:rFonts w:ascii="Arial" w:hAnsi="Arial"/>
                <w:b/>
                <w:bCs/>
                <w:noProof w:val="0"/>
                <w:sz w:val="26"/>
                <w:szCs w:val="26"/>
                <w:rtl/>
              </w:rPr>
              <w:t xml:space="preserve">. </w:t>
            </w:r>
            <w:r w:rsidR="00E811F7">
              <w:rPr>
                <w:rFonts w:ascii="Arial" w:hAnsi="Arial" w:hint="cs"/>
                <w:b/>
                <w:bCs/>
                <w:noProof w:val="0"/>
                <w:sz w:val="26"/>
                <w:szCs w:val="26"/>
                <w:rtl/>
              </w:rPr>
              <w:t>פלוני</w:t>
            </w:r>
          </w:p>
          <w:p w:rsidR="00577B9D" w:rsidRDefault="00841831" w:rsidP="00E811F7">
            <w:pPr>
              <w:rPr>
                <w:rtl/>
              </w:rPr>
            </w:pPr>
            <w:sdt>
              <w:sdtPr>
                <w:rPr>
                  <w:rtl/>
                </w:rPr>
                <w:alias w:val="1571"/>
                <w:tag w:val="1571"/>
                <w:id w:val="-702094496"/>
                <w:text w:multiLine="1"/>
              </w:sdtPr>
              <w:sdtEndPr/>
              <w:sdtContent>
                <w:r w:rsidR="00577B9D">
                  <w:rPr>
                    <w:rFonts w:ascii="Arial" w:hAnsi="Arial"/>
                    <w:b/>
                    <w:bCs/>
                    <w:noProof w:val="0"/>
                    <w:sz w:val="26"/>
                    <w:szCs w:val="26"/>
                    <w:rtl/>
                  </w:rPr>
                  <w:t>4</w:t>
                </w:r>
              </w:sdtContent>
            </w:sdt>
            <w:r w:rsidR="00577B9D">
              <w:rPr>
                <w:rFonts w:ascii="Arial" w:hAnsi="Arial"/>
                <w:b/>
                <w:bCs/>
                <w:noProof w:val="0"/>
                <w:sz w:val="26"/>
                <w:szCs w:val="26"/>
                <w:rtl/>
              </w:rPr>
              <w:t xml:space="preserve">. </w:t>
            </w:r>
            <w:r w:rsidR="00E811F7">
              <w:rPr>
                <w:rFonts w:ascii="Arial" w:hAnsi="Arial" w:hint="cs"/>
                <w:b/>
                <w:bCs/>
                <w:noProof w:val="0"/>
                <w:sz w:val="26"/>
                <w:szCs w:val="26"/>
                <w:rtl/>
              </w:rPr>
              <w:t>פלונית</w:t>
            </w:r>
          </w:p>
          <w:p w:rsidR="00577B9D" w:rsidRDefault="00577B9D">
            <w:pPr>
              <w:rPr>
                <w:noProof w:val="0"/>
                <w:sz w:val="26"/>
                <w:szCs w:val="26"/>
                <w:rtl/>
              </w:rPr>
            </w:pPr>
            <w:r>
              <w:rPr>
                <w:rtl/>
              </w:rPr>
              <w:t>ע"י עו"ד שרון סיון ועו"ד יעל קרסנטי</w:t>
            </w:r>
          </w:p>
        </w:tc>
      </w:tr>
      <w:tr w:rsidR="00577B9D" w:rsidTr="00577B9D">
        <w:trPr>
          <w:jc w:val="center"/>
        </w:trPr>
        <w:tc>
          <w:tcPr>
            <w:tcW w:w="8505" w:type="dxa"/>
            <w:gridSpan w:val="2"/>
          </w:tcPr>
          <w:p w:rsidR="00577B9D" w:rsidRPr="009E0C15" w:rsidRDefault="00577B9D">
            <w:pPr>
              <w:bidi w:val="0"/>
              <w:jc w:val="center"/>
              <w:rPr>
                <w:rFonts w:ascii="David" w:hAnsi="David"/>
                <w:b/>
                <w:bCs/>
                <w:noProof w:val="0"/>
                <w:u w:val="single"/>
                <w:rtl/>
              </w:rPr>
            </w:pPr>
          </w:p>
          <w:p w:rsidR="00577B9D" w:rsidRPr="009E0C15" w:rsidRDefault="00577B9D">
            <w:pPr>
              <w:bidi w:val="0"/>
              <w:jc w:val="center"/>
              <w:rPr>
                <w:rFonts w:ascii="David" w:hAnsi="David"/>
                <w:b/>
                <w:bCs/>
                <w:noProof w:val="0"/>
                <w:u w:val="single"/>
              </w:rPr>
            </w:pPr>
          </w:p>
          <w:p w:rsidR="00577B9D" w:rsidRPr="009E0C15" w:rsidRDefault="00577B9D">
            <w:pPr>
              <w:bidi w:val="0"/>
              <w:jc w:val="center"/>
              <w:rPr>
                <w:rFonts w:ascii="David" w:hAnsi="David"/>
                <w:b/>
                <w:bCs/>
                <w:noProof w:val="0"/>
                <w:u w:val="single"/>
              </w:rPr>
            </w:pPr>
          </w:p>
          <w:p w:rsidR="00577B9D" w:rsidRDefault="00577B9D">
            <w:pPr>
              <w:bidi w:val="0"/>
              <w:jc w:val="center"/>
              <w:rPr>
                <w:rFonts w:ascii="Arial" w:hAnsi="Arial"/>
                <w:b/>
                <w:bCs/>
                <w:noProof w:val="0"/>
                <w:sz w:val="28"/>
                <w:szCs w:val="28"/>
                <w:u w:val="single"/>
              </w:rPr>
            </w:pPr>
            <w:r>
              <w:rPr>
                <w:rFonts w:ascii="Arial" w:hAnsi="Arial"/>
                <w:b/>
                <w:bCs/>
                <w:noProof w:val="0"/>
                <w:sz w:val="34"/>
                <w:szCs w:val="34"/>
                <w:u w:val="single"/>
                <w:rtl/>
              </w:rPr>
              <w:t>החלטה</w:t>
            </w:r>
          </w:p>
        </w:tc>
      </w:tr>
    </w:tbl>
    <w:p w:rsidR="00577B9D" w:rsidRPr="009E0C15" w:rsidRDefault="00577B9D" w:rsidP="00965854">
      <w:pPr>
        <w:spacing w:line="360" w:lineRule="auto"/>
        <w:jc w:val="both"/>
        <w:rPr>
          <w:rFonts w:ascii="Arial" w:hAnsi="Arial"/>
          <w:noProof w:val="0"/>
          <w:sz w:val="20"/>
          <w:szCs w:val="20"/>
          <w:rtl/>
        </w:rPr>
      </w:pPr>
    </w:p>
    <w:p w:rsidR="00965854" w:rsidRDefault="005C7F45" w:rsidP="009E0C15">
      <w:pPr>
        <w:spacing w:line="360" w:lineRule="auto"/>
        <w:jc w:val="both"/>
        <w:rPr>
          <w:rFonts w:ascii="Arial" w:hAnsi="Arial"/>
          <w:noProof w:val="0"/>
          <w:rtl/>
        </w:rPr>
      </w:pPr>
      <w:r w:rsidRPr="009E0C15">
        <w:rPr>
          <w:rFonts w:ascii="Arial" w:hAnsi="Arial" w:hint="cs"/>
          <w:noProof w:val="0"/>
          <w:rtl/>
        </w:rPr>
        <w:t>בקשה לסילוק על הסף של תביעת בת ז</w:t>
      </w:r>
      <w:r w:rsidR="009E0C15" w:rsidRPr="009E0C15">
        <w:rPr>
          <w:rFonts w:ascii="Arial" w:hAnsi="Arial" w:hint="cs"/>
          <w:noProof w:val="0"/>
          <w:rtl/>
        </w:rPr>
        <w:t xml:space="preserve">וג של מנוח את יורשיו </w:t>
      </w:r>
      <w:r w:rsidRPr="009E0C15">
        <w:rPr>
          <w:rFonts w:ascii="Arial" w:hAnsi="Arial" w:hint="cs"/>
          <w:noProof w:val="0"/>
          <w:rtl/>
        </w:rPr>
        <w:t>לתשלום 1,500,000 ש</w:t>
      </w:r>
      <w:r w:rsidRPr="009E0C15">
        <w:rPr>
          <w:rFonts w:ascii="Arial" w:hAnsi="Arial"/>
          <w:noProof w:val="0"/>
          <w:rtl/>
        </w:rPr>
        <w:t>"</w:t>
      </w:r>
      <w:r w:rsidRPr="009E0C15">
        <w:rPr>
          <w:rFonts w:ascii="Arial" w:hAnsi="Arial" w:hint="cs"/>
          <w:noProof w:val="0"/>
          <w:rtl/>
        </w:rPr>
        <w:t>ח ב</w:t>
      </w:r>
      <w:r w:rsidR="009E0C15" w:rsidRPr="009E0C15">
        <w:rPr>
          <w:rFonts w:ascii="Arial" w:hAnsi="Arial" w:hint="cs"/>
          <w:noProof w:val="0"/>
          <w:rtl/>
        </w:rPr>
        <w:t xml:space="preserve">של </w:t>
      </w:r>
      <w:r w:rsidRPr="009E0C15">
        <w:rPr>
          <w:rFonts w:ascii="Arial" w:hAnsi="Arial" w:hint="cs"/>
          <w:noProof w:val="0"/>
          <w:rtl/>
        </w:rPr>
        <w:t xml:space="preserve"> נזקים שלטענתה גרמו לה</w:t>
      </w:r>
      <w:r w:rsidR="009E0C15" w:rsidRPr="009E0C15">
        <w:rPr>
          <w:rFonts w:ascii="Arial" w:hAnsi="Arial" w:hint="cs"/>
          <w:noProof w:val="0"/>
          <w:rtl/>
        </w:rPr>
        <w:t xml:space="preserve"> מהשתלטות על העיזבון, למעלה מעשור לאחר פטירת המנוח וקיום צוואתו.</w:t>
      </w:r>
    </w:p>
    <w:p w:rsidR="005C7F45" w:rsidRDefault="005C7F45" w:rsidP="00965854">
      <w:pPr>
        <w:spacing w:line="360" w:lineRule="auto"/>
        <w:jc w:val="both"/>
        <w:rPr>
          <w:rFonts w:ascii="Arial" w:hAnsi="Arial"/>
          <w:noProof w:val="0"/>
          <w:rtl/>
        </w:rPr>
      </w:pPr>
    </w:p>
    <w:p w:rsidR="005C7F45" w:rsidRDefault="005C7F45" w:rsidP="00E811F7">
      <w:pPr>
        <w:spacing w:line="360" w:lineRule="auto"/>
        <w:jc w:val="both"/>
        <w:rPr>
          <w:rFonts w:ascii="Arial" w:hAnsi="Arial"/>
          <w:noProof w:val="0"/>
          <w:rtl/>
        </w:rPr>
      </w:pPr>
      <w:r>
        <w:rPr>
          <w:rFonts w:ascii="Arial" w:hAnsi="Arial" w:hint="cs"/>
          <w:noProof w:val="0"/>
          <w:rtl/>
        </w:rPr>
        <w:t>1.</w:t>
      </w:r>
      <w:r>
        <w:rPr>
          <w:rFonts w:ascii="Arial" w:hAnsi="Arial" w:hint="cs"/>
          <w:noProof w:val="0"/>
          <w:rtl/>
        </w:rPr>
        <w:tab/>
        <w:t xml:space="preserve">מר </w:t>
      </w:r>
      <w:r w:rsidR="00E811F7">
        <w:rPr>
          <w:rFonts w:ascii="Arial" w:hAnsi="Arial" w:hint="cs"/>
          <w:noProof w:val="0"/>
          <w:rtl/>
        </w:rPr>
        <w:t>פלוני</w:t>
      </w:r>
      <w:r>
        <w:rPr>
          <w:rFonts w:ascii="Arial" w:hAnsi="Arial" w:hint="cs"/>
          <w:noProof w:val="0"/>
          <w:rtl/>
        </w:rPr>
        <w:t xml:space="preserve"> ז"ל (להלן 'המנוח') הלך לבית עולמו בחודש מאי 2012 כשהוא גרוש ואב לארבעה ילדים. התובעת היתה זוגתו של המנוח משנת 2005 ועד לפטירתו, והוכרה על ידי המוסד לביטוח לאומי כזכאית לתשלום קצבת שארים</w:t>
      </w:r>
      <w:r w:rsidR="005F5CE1">
        <w:rPr>
          <w:rFonts w:ascii="Arial" w:hAnsi="Arial" w:hint="cs"/>
          <w:noProof w:val="0"/>
          <w:rtl/>
        </w:rPr>
        <w:t xml:space="preserve"> (</w:t>
      </w:r>
      <w:r>
        <w:rPr>
          <w:rFonts w:ascii="Arial" w:hAnsi="Arial" w:hint="cs"/>
          <w:noProof w:val="0"/>
          <w:rtl/>
        </w:rPr>
        <w:t>כידועה בציבור</w:t>
      </w:r>
      <w:r w:rsidR="005F5CE1">
        <w:rPr>
          <w:rFonts w:ascii="Arial" w:hAnsi="Arial" w:hint="cs"/>
          <w:noProof w:val="0"/>
          <w:rtl/>
        </w:rPr>
        <w:t>)</w:t>
      </w:r>
      <w:r>
        <w:rPr>
          <w:rFonts w:ascii="Arial" w:hAnsi="Arial" w:hint="cs"/>
          <w:noProof w:val="0"/>
          <w:rtl/>
        </w:rPr>
        <w:t>.</w:t>
      </w:r>
    </w:p>
    <w:p w:rsidR="005C7F45" w:rsidRDefault="005C7F45" w:rsidP="005C7F45">
      <w:pPr>
        <w:spacing w:line="360" w:lineRule="auto"/>
        <w:jc w:val="both"/>
        <w:rPr>
          <w:rFonts w:ascii="Arial" w:hAnsi="Arial"/>
          <w:noProof w:val="0"/>
          <w:rtl/>
        </w:rPr>
      </w:pPr>
    </w:p>
    <w:p w:rsidR="005C7F45" w:rsidRDefault="005C7F45" w:rsidP="005F5CE1">
      <w:pPr>
        <w:spacing w:line="360" w:lineRule="auto"/>
        <w:jc w:val="both"/>
        <w:rPr>
          <w:rFonts w:ascii="Arial" w:hAnsi="Arial"/>
          <w:noProof w:val="0"/>
          <w:rtl/>
        </w:rPr>
      </w:pPr>
      <w:r>
        <w:rPr>
          <w:rFonts w:ascii="Arial" w:hAnsi="Arial" w:hint="cs"/>
          <w:noProof w:val="0"/>
          <w:rtl/>
        </w:rPr>
        <w:t>2.</w:t>
      </w:r>
      <w:r>
        <w:rPr>
          <w:rFonts w:ascii="Arial" w:hAnsi="Arial"/>
          <w:noProof w:val="0"/>
          <w:rtl/>
        </w:rPr>
        <w:tab/>
      </w:r>
      <w:r>
        <w:rPr>
          <w:rFonts w:ascii="Arial" w:hAnsi="Arial" w:hint="cs"/>
          <w:noProof w:val="0"/>
          <w:rtl/>
        </w:rPr>
        <w:t xml:space="preserve">ביום 28.2.2005 התובעת והמנוח חתמו על הסכם שכותרתו </w:t>
      </w:r>
      <w:r w:rsidRPr="005F5CE1">
        <w:rPr>
          <w:rFonts w:ascii="Arial" w:hAnsi="Arial" w:hint="cs"/>
          <w:i/>
          <w:iCs/>
          <w:noProof w:val="0"/>
          <w:rtl/>
        </w:rPr>
        <w:t>"הסכם יחסי ממון וחיי משפחה"</w:t>
      </w:r>
      <w:r>
        <w:rPr>
          <w:rFonts w:ascii="Arial" w:hAnsi="Arial" w:hint="cs"/>
          <w:noProof w:val="0"/>
          <w:rtl/>
        </w:rPr>
        <w:t xml:space="preserve"> (להלן 'הסכם הממון'). הסכם הממון לא אושר בבית המשפט ולא הובהר האם אושר על ידי נוטריון אם לאו, ועיקריו</w:t>
      </w:r>
      <w:r w:rsidR="005F5CE1">
        <w:rPr>
          <w:rFonts w:ascii="Arial" w:hAnsi="Arial" w:hint="cs"/>
          <w:noProof w:val="0"/>
          <w:rtl/>
        </w:rPr>
        <w:t xml:space="preserve"> הם</w:t>
      </w:r>
      <w:r>
        <w:rPr>
          <w:rFonts w:ascii="Arial" w:hAnsi="Arial" w:hint="cs"/>
          <w:noProof w:val="0"/>
          <w:rtl/>
        </w:rPr>
        <w:t>:</w:t>
      </w:r>
    </w:p>
    <w:p w:rsidR="005C7F45" w:rsidRDefault="005C7F45" w:rsidP="009E0C15">
      <w:pPr>
        <w:spacing w:before="60" w:line="360" w:lineRule="auto"/>
        <w:jc w:val="both"/>
        <w:rPr>
          <w:rFonts w:ascii="Arial" w:hAnsi="Arial"/>
          <w:noProof w:val="0"/>
          <w:rtl/>
        </w:rPr>
      </w:pPr>
      <w:r>
        <w:rPr>
          <w:rFonts w:ascii="Arial" w:hAnsi="Arial" w:hint="cs"/>
          <w:noProof w:val="0"/>
          <w:rtl/>
        </w:rPr>
        <w:t>2.1</w:t>
      </w:r>
      <w:r>
        <w:rPr>
          <w:rFonts w:ascii="Arial" w:hAnsi="Arial" w:hint="cs"/>
          <w:noProof w:val="0"/>
          <w:rtl/>
        </w:rPr>
        <w:tab/>
        <w:t>מיום 1.3.2005 התובעת והמנוח יתגוררו תחת קורת גג אחת כבני זוג לכל דבר;</w:t>
      </w:r>
    </w:p>
    <w:p w:rsidR="005C7F45" w:rsidRDefault="005C7F45" w:rsidP="009E0C15">
      <w:pPr>
        <w:spacing w:before="60" w:line="360" w:lineRule="auto"/>
        <w:jc w:val="both"/>
        <w:rPr>
          <w:rFonts w:ascii="Arial" w:hAnsi="Arial"/>
          <w:noProof w:val="0"/>
          <w:rtl/>
        </w:rPr>
      </w:pPr>
      <w:r>
        <w:rPr>
          <w:rFonts w:ascii="Arial" w:hAnsi="Arial" w:hint="cs"/>
          <w:noProof w:val="0"/>
          <w:rtl/>
        </w:rPr>
        <w:t>2.2</w:t>
      </w:r>
      <w:r>
        <w:rPr>
          <w:rFonts w:ascii="Arial" w:hAnsi="Arial" w:hint="cs"/>
          <w:noProof w:val="0"/>
          <w:rtl/>
        </w:rPr>
        <w:tab/>
        <w:t>כלל הנכסים שהתובעת והמנוח צברו עד 1.3.2005 יוותרו בבעלות כל אחד מהם בנפרד;</w:t>
      </w:r>
    </w:p>
    <w:p w:rsidR="005C7F45" w:rsidRDefault="005C7F45" w:rsidP="009E0C15">
      <w:pPr>
        <w:spacing w:before="60" w:line="360" w:lineRule="auto"/>
        <w:jc w:val="both"/>
        <w:rPr>
          <w:rFonts w:ascii="Arial" w:hAnsi="Arial"/>
          <w:noProof w:val="0"/>
          <w:rtl/>
        </w:rPr>
      </w:pPr>
      <w:r>
        <w:rPr>
          <w:rFonts w:ascii="Arial" w:hAnsi="Arial" w:hint="cs"/>
          <w:noProof w:val="0"/>
          <w:rtl/>
        </w:rPr>
        <w:t>2.3</w:t>
      </w:r>
      <w:r>
        <w:rPr>
          <w:rFonts w:ascii="Arial" w:hAnsi="Arial" w:hint="cs"/>
          <w:noProof w:val="0"/>
          <w:rtl/>
        </w:rPr>
        <w:tab/>
        <w:t>נכסים שיירכשו מיום 1.3.2005 במאמץ משותף, יהיו שייכים לתובעת ולמנוח בחלקים שווים;</w:t>
      </w:r>
    </w:p>
    <w:p w:rsidR="005C7F45" w:rsidRDefault="005C7F45" w:rsidP="005C7F45">
      <w:pPr>
        <w:spacing w:line="360" w:lineRule="auto"/>
        <w:jc w:val="both"/>
        <w:rPr>
          <w:rFonts w:ascii="Arial" w:hAnsi="Arial"/>
          <w:noProof w:val="0"/>
          <w:rtl/>
        </w:rPr>
      </w:pPr>
    </w:p>
    <w:p w:rsidR="005C7F45" w:rsidRDefault="005C7F45" w:rsidP="00E811F7">
      <w:pPr>
        <w:spacing w:line="360" w:lineRule="auto"/>
        <w:jc w:val="both"/>
        <w:rPr>
          <w:rFonts w:ascii="Arial" w:hAnsi="Arial"/>
          <w:noProof w:val="0"/>
          <w:rtl/>
        </w:rPr>
      </w:pPr>
      <w:r>
        <w:rPr>
          <w:rFonts w:ascii="Arial" w:hAnsi="Arial" w:hint="cs"/>
          <w:noProof w:val="0"/>
          <w:rtl/>
        </w:rPr>
        <w:t>3.</w:t>
      </w:r>
      <w:r>
        <w:rPr>
          <w:rFonts w:ascii="Arial" w:hAnsi="Arial" w:hint="cs"/>
          <w:noProof w:val="0"/>
          <w:rtl/>
        </w:rPr>
        <w:tab/>
        <w:t xml:space="preserve">בשנת 2010 התובעת והמנוח רכשו את הזכויות בדירה ברח' </w:t>
      </w:r>
      <w:r w:rsidR="00E811F7" w:rsidRPr="00E811F7">
        <w:rPr>
          <w:rFonts w:ascii="David" w:hAnsi="David"/>
          <w:noProof w:val="0"/>
          <w:sz w:val="20"/>
          <w:szCs w:val="20"/>
        </w:rPr>
        <w:t>XXX</w:t>
      </w:r>
      <w:r w:rsidR="00E811F7">
        <w:rPr>
          <w:rFonts w:ascii="Arial" w:hAnsi="Arial" w:hint="cs"/>
          <w:noProof w:val="0"/>
          <w:rtl/>
        </w:rPr>
        <w:t xml:space="preserve"> </w:t>
      </w:r>
      <w:r>
        <w:rPr>
          <w:rFonts w:ascii="Arial" w:hAnsi="Arial" w:hint="cs"/>
          <w:noProof w:val="0"/>
          <w:rtl/>
        </w:rPr>
        <w:t>ב</w:t>
      </w:r>
      <w:r w:rsidR="00E811F7">
        <w:rPr>
          <w:rFonts w:ascii="Arial" w:hAnsi="Arial" w:hint="cs"/>
          <w:noProof w:val="0"/>
          <w:rtl/>
        </w:rPr>
        <w:t>-</w:t>
      </w:r>
      <w:r w:rsidR="00E811F7" w:rsidRPr="00E811F7">
        <w:rPr>
          <w:rFonts w:ascii="David" w:hAnsi="David"/>
          <w:noProof w:val="0"/>
          <w:sz w:val="20"/>
          <w:szCs w:val="20"/>
        </w:rPr>
        <w:t xml:space="preserve"> XXX</w:t>
      </w:r>
      <w:r>
        <w:rPr>
          <w:rFonts w:ascii="Arial" w:hAnsi="Arial" w:hint="cs"/>
          <w:noProof w:val="0"/>
          <w:rtl/>
        </w:rPr>
        <w:t>(להלן 'הדירה')</w:t>
      </w:r>
      <w:r w:rsidR="009E0C15">
        <w:rPr>
          <w:rFonts w:ascii="Arial" w:hAnsi="Arial" w:hint="cs"/>
          <w:noProof w:val="0"/>
          <w:rtl/>
        </w:rPr>
        <w:t xml:space="preserve"> תמורת 1,300,000 ש"ח</w:t>
      </w:r>
      <w:r>
        <w:rPr>
          <w:rFonts w:ascii="Arial" w:hAnsi="Arial" w:hint="cs"/>
          <w:noProof w:val="0"/>
          <w:rtl/>
        </w:rPr>
        <w:t xml:space="preserve">. התובעת </w:t>
      </w:r>
      <w:r w:rsidR="009E0C15">
        <w:rPr>
          <w:rFonts w:ascii="Arial" w:hAnsi="Arial" w:hint="cs"/>
          <w:noProof w:val="0"/>
          <w:rtl/>
        </w:rPr>
        <w:t>מימנה 1,000,000 ש</w:t>
      </w:r>
      <w:r w:rsidR="009E0C15">
        <w:rPr>
          <w:rFonts w:ascii="Arial" w:hAnsi="Arial"/>
          <w:noProof w:val="0"/>
          <w:rtl/>
        </w:rPr>
        <w:t>"</w:t>
      </w:r>
      <w:r w:rsidR="009E0C15">
        <w:rPr>
          <w:rFonts w:ascii="Arial" w:hAnsi="Arial" w:hint="cs"/>
          <w:noProof w:val="0"/>
          <w:rtl/>
        </w:rPr>
        <w:t>ח מהתמורה ו</w:t>
      </w:r>
      <w:r>
        <w:rPr>
          <w:rFonts w:ascii="Arial" w:hAnsi="Arial" w:hint="cs"/>
          <w:noProof w:val="0"/>
          <w:rtl/>
        </w:rPr>
        <w:t>נרשמה כבעלים של 75% מהזכויות בדירה</w:t>
      </w:r>
      <w:r w:rsidR="009E0C15">
        <w:rPr>
          <w:rFonts w:ascii="Arial" w:hAnsi="Arial" w:hint="cs"/>
          <w:noProof w:val="0"/>
          <w:rtl/>
        </w:rPr>
        <w:t>,</w:t>
      </w:r>
      <w:r>
        <w:rPr>
          <w:rFonts w:ascii="Arial" w:hAnsi="Arial" w:hint="cs"/>
          <w:noProof w:val="0"/>
          <w:rtl/>
        </w:rPr>
        <w:t xml:space="preserve"> והמנוח </w:t>
      </w:r>
      <w:r w:rsidR="009E0C15">
        <w:rPr>
          <w:rFonts w:ascii="Arial" w:hAnsi="Arial" w:hint="cs"/>
          <w:noProof w:val="0"/>
          <w:rtl/>
        </w:rPr>
        <w:t>מימן את היתרה בסך 300,000 ש</w:t>
      </w:r>
      <w:r w:rsidR="009E0C15">
        <w:rPr>
          <w:rFonts w:ascii="Arial" w:hAnsi="Arial"/>
          <w:noProof w:val="0"/>
          <w:rtl/>
        </w:rPr>
        <w:t>"</w:t>
      </w:r>
      <w:r w:rsidR="009E0C15">
        <w:rPr>
          <w:rFonts w:ascii="Arial" w:hAnsi="Arial" w:hint="cs"/>
          <w:noProof w:val="0"/>
          <w:rtl/>
        </w:rPr>
        <w:t xml:space="preserve">ח ונרשם </w:t>
      </w:r>
      <w:r>
        <w:rPr>
          <w:rFonts w:ascii="Arial" w:hAnsi="Arial" w:hint="cs"/>
          <w:noProof w:val="0"/>
          <w:rtl/>
        </w:rPr>
        <w:t>כבעלים של 25% מה</w:t>
      </w:r>
      <w:r w:rsidR="009E0C15">
        <w:rPr>
          <w:rFonts w:ascii="Arial" w:hAnsi="Arial" w:hint="cs"/>
          <w:noProof w:val="0"/>
          <w:rtl/>
        </w:rPr>
        <w:t xml:space="preserve">זכויות בדירה. התובעת והמנוח </w:t>
      </w:r>
      <w:r>
        <w:rPr>
          <w:rFonts w:ascii="Arial" w:hAnsi="Arial" w:hint="cs"/>
          <w:noProof w:val="0"/>
          <w:rtl/>
        </w:rPr>
        <w:t>התגוררו ב</w:t>
      </w:r>
      <w:r w:rsidR="009E0C15">
        <w:rPr>
          <w:rFonts w:ascii="Arial" w:hAnsi="Arial" w:hint="cs"/>
          <w:noProof w:val="0"/>
          <w:rtl/>
        </w:rPr>
        <w:t>דירה</w:t>
      </w:r>
      <w:r>
        <w:rPr>
          <w:rFonts w:ascii="Arial" w:hAnsi="Arial" w:hint="cs"/>
          <w:noProof w:val="0"/>
          <w:rtl/>
        </w:rPr>
        <w:t xml:space="preserve"> יחדיו עד לפטירת המנוח.</w:t>
      </w:r>
    </w:p>
    <w:p w:rsidR="005C7F45" w:rsidRDefault="005C7F45" w:rsidP="005C7F45">
      <w:pPr>
        <w:spacing w:line="360" w:lineRule="auto"/>
        <w:jc w:val="both"/>
        <w:rPr>
          <w:rFonts w:ascii="Arial" w:hAnsi="Arial"/>
          <w:noProof w:val="0"/>
          <w:rtl/>
        </w:rPr>
      </w:pPr>
    </w:p>
    <w:p w:rsidR="005C7F45" w:rsidRDefault="005C7F45" w:rsidP="009E0C15">
      <w:pPr>
        <w:spacing w:line="360" w:lineRule="auto"/>
        <w:jc w:val="both"/>
        <w:rPr>
          <w:rFonts w:ascii="Arial" w:hAnsi="Arial"/>
          <w:noProof w:val="0"/>
          <w:rtl/>
        </w:rPr>
      </w:pPr>
      <w:r>
        <w:rPr>
          <w:rFonts w:ascii="Arial" w:hAnsi="Arial" w:hint="cs"/>
          <w:noProof w:val="0"/>
          <w:rtl/>
        </w:rPr>
        <w:lastRenderedPageBreak/>
        <w:t>4.</w:t>
      </w:r>
      <w:r>
        <w:rPr>
          <w:rFonts w:ascii="Arial" w:hAnsi="Arial" w:hint="cs"/>
          <w:noProof w:val="0"/>
          <w:rtl/>
        </w:rPr>
        <w:tab/>
        <w:t>ביום 7.5.2013 ניתן על ידי הרשם לעניני ירושה צו לקיום צווא</w:t>
      </w:r>
      <w:r w:rsidR="009E0C15">
        <w:rPr>
          <w:rFonts w:ascii="Arial" w:hAnsi="Arial" w:hint="cs"/>
          <w:noProof w:val="0"/>
          <w:rtl/>
        </w:rPr>
        <w:t xml:space="preserve">ה ברשות שהמנוח ערך ביום </w:t>
      </w:r>
      <w:r>
        <w:rPr>
          <w:rFonts w:ascii="Arial" w:hAnsi="Arial" w:hint="cs"/>
          <w:noProof w:val="0"/>
          <w:rtl/>
        </w:rPr>
        <w:t>29.</w:t>
      </w:r>
      <w:r w:rsidR="005F5CE1">
        <w:rPr>
          <w:rFonts w:ascii="Arial" w:hAnsi="Arial" w:hint="cs"/>
          <w:noProof w:val="0"/>
          <w:rtl/>
        </w:rPr>
        <w:t>8</w:t>
      </w:r>
      <w:r>
        <w:rPr>
          <w:rFonts w:ascii="Arial" w:hAnsi="Arial" w:hint="cs"/>
          <w:noProof w:val="0"/>
          <w:rtl/>
        </w:rPr>
        <w:t>.2011 (להלן 'הצוואה'). המנוח ציווה את עזבונו לשלושה מילדיו, הנתבעים 4-2, ולנכדו, הנתבע 1. לתובעת המנוח ציווה את כל הריהוט והתכולה בדירה או בדירה בה יתגוררו יחדיו בעת פטירתו.</w:t>
      </w:r>
    </w:p>
    <w:p w:rsidR="005C7F45" w:rsidRDefault="005C7F45" w:rsidP="005C7F45">
      <w:pPr>
        <w:spacing w:line="360" w:lineRule="auto"/>
        <w:jc w:val="both"/>
        <w:rPr>
          <w:rFonts w:ascii="Arial" w:hAnsi="Arial"/>
          <w:noProof w:val="0"/>
          <w:rtl/>
        </w:rPr>
      </w:pPr>
    </w:p>
    <w:p w:rsidR="005C7F45" w:rsidRDefault="005C7F45" w:rsidP="00E811F7">
      <w:pPr>
        <w:spacing w:line="360" w:lineRule="auto"/>
        <w:jc w:val="both"/>
        <w:rPr>
          <w:rFonts w:ascii="Arial" w:hAnsi="Arial"/>
          <w:noProof w:val="0"/>
          <w:rtl/>
        </w:rPr>
      </w:pPr>
      <w:r>
        <w:rPr>
          <w:rFonts w:ascii="Arial" w:hAnsi="Arial" w:hint="cs"/>
          <w:noProof w:val="0"/>
          <w:rtl/>
        </w:rPr>
        <w:t>5.</w:t>
      </w:r>
      <w:r>
        <w:rPr>
          <w:rFonts w:ascii="Arial" w:hAnsi="Arial" w:hint="cs"/>
          <w:noProof w:val="0"/>
          <w:rtl/>
        </w:rPr>
        <w:tab/>
        <w:t>בחודש ספטמבר 2014 הנתבע 1, שנחל את זכויות המנוח בדירה (להלן 'הנתבע'), הגיש לבית משפט השלום בתל אביב שתי תביעות נגד התובעת: תביעה לפירוק שיתוף הזכויות בדירה (ת"א</w:t>
      </w:r>
      <w:r w:rsidR="00E811F7">
        <w:rPr>
          <w:rFonts w:ascii="Arial" w:hAnsi="Arial" w:hint="cs"/>
          <w:noProof w:val="0"/>
          <w:rtl/>
        </w:rPr>
        <w:t xml:space="preserve"> </w:t>
      </w:r>
      <w:r>
        <w:rPr>
          <w:rFonts w:ascii="Arial" w:hAnsi="Arial" w:hint="cs"/>
          <w:noProof w:val="0"/>
          <w:rtl/>
        </w:rPr>
        <w:t xml:space="preserve"> </w:t>
      </w:r>
      <w:r w:rsidR="00E811F7" w:rsidRPr="00E811F7">
        <w:rPr>
          <w:rFonts w:ascii="David" w:hAnsi="David"/>
          <w:noProof w:val="0"/>
          <w:sz w:val="20"/>
          <w:szCs w:val="20"/>
        </w:rPr>
        <w:t>XXXXX</w:t>
      </w:r>
      <w:r w:rsidR="00E811F7">
        <w:rPr>
          <w:rFonts w:ascii="Arial" w:hAnsi="Arial" w:hint="cs"/>
          <w:noProof w:val="0"/>
          <w:rtl/>
        </w:rPr>
        <w:t>)</w:t>
      </w:r>
      <w:r>
        <w:rPr>
          <w:rFonts w:ascii="Arial" w:hAnsi="Arial" w:hint="cs"/>
          <w:noProof w:val="0"/>
          <w:rtl/>
        </w:rPr>
        <w:t>, ותביעה לתשלום דמי שימוש ראויים (ת"א</w:t>
      </w:r>
      <w:r w:rsidR="00E811F7">
        <w:rPr>
          <w:rFonts w:ascii="Arial" w:hAnsi="Arial" w:hint="cs"/>
          <w:noProof w:val="0"/>
          <w:rtl/>
        </w:rPr>
        <w:t xml:space="preserve"> </w:t>
      </w:r>
      <w:r w:rsidR="00E811F7" w:rsidRPr="00E811F7">
        <w:rPr>
          <w:rFonts w:ascii="David" w:hAnsi="David"/>
          <w:noProof w:val="0"/>
          <w:sz w:val="20"/>
          <w:szCs w:val="20"/>
        </w:rPr>
        <w:t>XXXXX</w:t>
      </w:r>
      <w:r w:rsidR="00E811F7">
        <w:rPr>
          <w:rFonts w:ascii="Arial" w:hAnsi="Arial" w:hint="cs"/>
          <w:noProof w:val="0"/>
          <w:rtl/>
        </w:rPr>
        <w:t>)</w:t>
      </w:r>
      <w:r>
        <w:rPr>
          <w:rFonts w:ascii="Arial" w:hAnsi="Arial" w:hint="cs"/>
          <w:noProof w:val="0"/>
          <w:rtl/>
        </w:rPr>
        <w:t>. התובעת עתרה לסילוק התביעות על הסף מחוסר סמכות עניינית אך בקשתה נדחתה.</w:t>
      </w:r>
      <w:r w:rsidR="009E0C15">
        <w:rPr>
          <w:rFonts w:ascii="Arial" w:hAnsi="Arial" w:hint="cs"/>
          <w:noProof w:val="0"/>
          <w:rtl/>
        </w:rPr>
        <w:t xml:space="preserve"> לאחר מכן התובעת והנתבע עתרו בהסכמה לאיחוד הדיון בתביעות אך בקשתם נדחתה על ידי סגנית הנשיא (כב' השופטת נ' גרוסמן). בהמשך בירור התביעה לתשלום דמי שימוש עוכב עד להכרעה בתביעה לפירוק שיתוף.</w:t>
      </w:r>
    </w:p>
    <w:p w:rsidR="005C7F45" w:rsidRDefault="005C7F45" w:rsidP="005C7F45">
      <w:pPr>
        <w:spacing w:line="360" w:lineRule="auto"/>
        <w:jc w:val="both"/>
        <w:rPr>
          <w:rFonts w:ascii="Arial" w:hAnsi="Arial"/>
          <w:noProof w:val="0"/>
          <w:rtl/>
        </w:rPr>
      </w:pPr>
    </w:p>
    <w:p w:rsidR="005C7F45" w:rsidRDefault="005C7F45" w:rsidP="005F5CE1">
      <w:pPr>
        <w:spacing w:line="360" w:lineRule="auto"/>
        <w:jc w:val="both"/>
        <w:rPr>
          <w:rFonts w:ascii="Arial" w:hAnsi="Arial"/>
          <w:noProof w:val="0"/>
          <w:rtl/>
        </w:rPr>
      </w:pPr>
      <w:r>
        <w:rPr>
          <w:rFonts w:ascii="Arial" w:hAnsi="Arial" w:hint="cs"/>
          <w:noProof w:val="0"/>
          <w:rtl/>
        </w:rPr>
        <w:t>6.</w:t>
      </w:r>
      <w:r>
        <w:rPr>
          <w:rFonts w:ascii="Arial" w:hAnsi="Arial" w:hint="cs"/>
          <w:noProof w:val="0"/>
          <w:rtl/>
        </w:rPr>
        <w:tab/>
        <w:t>פסק דין בתביעה לפירוק שיתוף ניתן ביום 7.3.2017 (כב' השופט מ</w:t>
      </w:r>
      <w:r w:rsidR="005F5CE1">
        <w:rPr>
          <w:rFonts w:ascii="Arial" w:hAnsi="Arial" w:hint="cs"/>
          <w:noProof w:val="0"/>
          <w:rtl/>
        </w:rPr>
        <w:t>'</w:t>
      </w:r>
      <w:r>
        <w:rPr>
          <w:rFonts w:ascii="Arial" w:hAnsi="Arial" w:hint="cs"/>
          <w:noProof w:val="0"/>
          <w:rtl/>
        </w:rPr>
        <w:t xml:space="preserve"> תמיר). נפסק ששיתוף הזכויות בדירה יפורק, אך הדירה תימכר כתפוסה משום מגורי התובעת בה, וניתנה לתובעת הזכות לרכוש את חלקו של הנתבע בדירה בתוך 30 ימים מיום שתוגש חו</w:t>
      </w:r>
      <w:r w:rsidRPr="005F5CE1">
        <w:rPr>
          <w:rFonts w:ascii="Arial" w:hAnsi="Arial" w:hint="cs"/>
          <w:noProof w:val="0"/>
          <w:rtl/>
        </w:rPr>
        <w:t xml:space="preserve">"ד שמאי. בחודש ספטמבר 2017 התובעת רכשה את זכויות הנתבע בדירה </w:t>
      </w:r>
      <w:r w:rsidR="005F5CE1" w:rsidRPr="005F5CE1">
        <w:rPr>
          <w:rFonts w:ascii="Arial" w:hAnsi="Arial" w:hint="cs"/>
          <w:noProof w:val="0"/>
          <w:rtl/>
        </w:rPr>
        <w:t>בהתאם לשמאות שנערכה.</w:t>
      </w:r>
    </w:p>
    <w:p w:rsidR="005C7F45" w:rsidRDefault="005C7F45" w:rsidP="005C7F45">
      <w:pPr>
        <w:spacing w:line="360" w:lineRule="auto"/>
        <w:jc w:val="both"/>
        <w:rPr>
          <w:rFonts w:ascii="Arial" w:hAnsi="Arial"/>
          <w:noProof w:val="0"/>
          <w:rtl/>
        </w:rPr>
      </w:pPr>
    </w:p>
    <w:p w:rsidR="005C7F45" w:rsidRDefault="005C7F45" w:rsidP="005F5CE1">
      <w:pPr>
        <w:spacing w:line="360" w:lineRule="auto"/>
        <w:jc w:val="both"/>
        <w:rPr>
          <w:rFonts w:ascii="Arial" w:hAnsi="Arial"/>
          <w:noProof w:val="0"/>
          <w:rtl/>
        </w:rPr>
      </w:pPr>
      <w:r>
        <w:rPr>
          <w:rFonts w:ascii="Arial" w:hAnsi="Arial" w:hint="cs"/>
          <w:noProof w:val="0"/>
          <w:rtl/>
        </w:rPr>
        <w:t>7.</w:t>
      </w:r>
      <w:r>
        <w:rPr>
          <w:rFonts w:ascii="Arial" w:hAnsi="Arial" w:hint="cs"/>
          <w:noProof w:val="0"/>
          <w:rtl/>
        </w:rPr>
        <w:tab/>
        <w:t>פסק דין בתביעה לתשלום דמי שימוש ראויים ניתן ביום 7.2.2018 (כב' השופטת ט</w:t>
      </w:r>
      <w:r w:rsidR="005F5CE1">
        <w:rPr>
          <w:rFonts w:ascii="Arial" w:hAnsi="Arial" w:hint="cs"/>
          <w:noProof w:val="0"/>
          <w:rtl/>
        </w:rPr>
        <w:t>'</w:t>
      </w:r>
      <w:r>
        <w:rPr>
          <w:rFonts w:ascii="Arial" w:hAnsi="Arial" w:hint="cs"/>
          <w:noProof w:val="0"/>
          <w:rtl/>
        </w:rPr>
        <w:t xml:space="preserve"> לוי-מיכאלי). נפסק שעל התובעת לשלם לנתבע דמי שימוש ראויים עבור 55 חודשים מתוך 64 החודשים שחלפו ממועד פטירת המנוח בחודש מאי 2012 ועד למועד רכישת התובעת את זכויות הנתבע בדירה, בסך 1,200 ש</w:t>
      </w:r>
      <w:r>
        <w:rPr>
          <w:rFonts w:ascii="Arial" w:hAnsi="Arial"/>
          <w:noProof w:val="0"/>
          <w:rtl/>
        </w:rPr>
        <w:t>"</w:t>
      </w:r>
      <w:r>
        <w:rPr>
          <w:rFonts w:ascii="Arial" w:hAnsi="Arial" w:hint="cs"/>
          <w:noProof w:val="0"/>
          <w:rtl/>
        </w:rPr>
        <w:t>ח לחודש, ובסך הכל 66,000 ש"ח.</w:t>
      </w:r>
    </w:p>
    <w:p w:rsidR="005C7F45" w:rsidRDefault="005C7F45" w:rsidP="005C7F45">
      <w:pPr>
        <w:spacing w:line="360" w:lineRule="auto"/>
        <w:jc w:val="both"/>
        <w:rPr>
          <w:rFonts w:ascii="Arial" w:hAnsi="Arial"/>
          <w:noProof w:val="0"/>
          <w:rtl/>
        </w:rPr>
      </w:pPr>
    </w:p>
    <w:p w:rsidR="005C7F45" w:rsidRDefault="005C7F45" w:rsidP="009E0C15">
      <w:pPr>
        <w:spacing w:line="360" w:lineRule="auto"/>
        <w:jc w:val="both"/>
        <w:rPr>
          <w:rFonts w:ascii="Arial" w:hAnsi="Arial"/>
          <w:noProof w:val="0"/>
          <w:rtl/>
        </w:rPr>
      </w:pPr>
      <w:r>
        <w:rPr>
          <w:rFonts w:ascii="Arial" w:hAnsi="Arial" w:hint="cs"/>
          <w:noProof w:val="0"/>
          <w:rtl/>
        </w:rPr>
        <w:t>8.</w:t>
      </w:r>
      <w:r>
        <w:rPr>
          <w:rFonts w:ascii="Arial" w:hAnsi="Arial" w:hint="cs"/>
          <w:noProof w:val="0"/>
          <w:rtl/>
        </w:rPr>
        <w:tab/>
        <w:t xml:space="preserve">בחודש נובמבר 2023 התובעת הגישה את התביעה בהליך זה, אותה הגדירה כתביעה </w:t>
      </w:r>
      <w:r w:rsidRPr="009E0C15">
        <w:rPr>
          <w:rFonts w:ascii="Arial" w:hAnsi="Arial" w:hint="cs"/>
          <w:i/>
          <w:iCs/>
          <w:noProof w:val="0"/>
          <w:rtl/>
        </w:rPr>
        <w:t>"כספית-נזיקית"</w:t>
      </w:r>
      <w:r>
        <w:rPr>
          <w:rFonts w:ascii="Arial" w:hAnsi="Arial" w:hint="cs"/>
          <w:noProof w:val="0"/>
          <w:rtl/>
        </w:rPr>
        <w:t xml:space="preserve">. מתחת לכותרת כתב התביעה נטען כך: פסק הדין מיום 7.3.2017 ניתן ללא סמכות; </w:t>
      </w:r>
      <w:r w:rsidR="009E0C15">
        <w:rPr>
          <w:rFonts w:ascii="Arial" w:hAnsi="Arial" w:hint="cs"/>
          <w:noProof w:val="0"/>
          <w:rtl/>
        </w:rPr>
        <w:t>התובעת והמנוח היו ידועים בציבור ועל בית המשפט לראות בהסכם הממון את הבסיס לתביעה זו</w:t>
      </w:r>
      <w:r>
        <w:rPr>
          <w:rFonts w:ascii="Arial" w:hAnsi="Arial" w:hint="cs"/>
          <w:noProof w:val="0"/>
          <w:rtl/>
        </w:rPr>
        <w:t xml:space="preserve">; יש לבטל את פסק הדין מיום 7.3.2017 ולדון מחדש בעניין עיזבון המנוח. בסעיף </w:t>
      </w:r>
      <w:r w:rsidR="009E0C15">
        <w:rPr>
          <w:rFonts w:ascii="Arial" w:hAnsi="Arial" w:hint="cs"/>
          <w:noProof w:val="0"/>
          <w:rtl/>
        </w:rPr>
        <w:t xml:space="preserve">57 לכתב התביעה שכותרתו </w:t>
      </w:r>
      <w:r>
        <w:rPr>
          <w:rFonts w:ascii="Arial" w:hAnsi="Arial" w:hint="cs"/>
          <w:noProof w:val="0"/>
          <w:rtl/>
        </w:rPr>
        <w:t>'הסעד המבוקש' התובעת עתרה לחייב את הנתבעים לחשוף את כלל נכסי העיזבון ולחלקם שווה בשווה עמה. להלן תקציר הנטען בכתב התביעה:</w:t>
      </w:r>
    </w:p>
    <w:p w:rsidR="005C7F45" w:rsidRDefault="005C7F45" w:rsidP="005C7F45">
      <w:pPr>
        <w:spacing w:line="360" w:lineRule="auto"/>
        <w:jc w:val="both"/>
        <w:rPr>
          <w:rFonts w:ascii="Arial" w:hAnsi="Arial"/>
          <w:noProof w:val="0"/>
          <w:rtl/>
        </w:rPr>
      </w:pPr>
    </w:p>
    <w:p w:rsidR="009E0C15" w:rsidRDefault="005C7F45" w:rsidP="009E0C15">
      <w:pPr>
        <w:spacing w:line="360" w:lineRule="auto"/>
        <w:jc w:val="both"/>
        <w:rPr>
          <w:rFonts w:ascii="Arial" w:hAnsi="Arial"/>
          <w:noProof w:val="0"/>
          <w:rtl/>
        </w:rPr>
      </w:pPr>
      <w:r>
        <w:rPr>
          <w:rFonts w:ascii="Arial" w:hAnsi="Arial" w:hint="cs"/>
          <w:noProof w:val="0"/>
          <w:rtl/>
        </w:rPr>
        <w:t>8.1</w:t>
      </w:r>
      <w:r>
        <w:rPr>
          <w:rFonts w:ascii="Arial" w:hAnsi="Arial" w:hint="cs"/>
          <w:noProof w:val="0"/>
          <w:rtl/>
        </w:rPr>
        <w:tab/>
        <w:t xml:space="preserve">קצרה היריעה מלהכיל את הצער, הסבל, והתסכול שהנתבעים גרמו לה ואין אפשרות לכמתם, ועל כן כתב התביעה יכיל </w:t>
      </w:r>
      <w:r w:rsidRPr="005C7F45">
        <w:rPr>
          <w:rFonts w:ascii="Arial" w:hAnsi="Arial" w:hint="cs"/>
          <w:i/>
          <w:iCs/>
          <w:noProof w:val="0"/>
          <w:rtl/>
        </w:rPr>
        <w:t>"אך ורק את הרכיבים הנזיקיים אותם ניתן לאמוד בסכומים מדויקים"</w:t>
      </w:r>
      <w:r>
        <w:rPr>
          <w:rFonts w:ascii="Arial" w:hAnsi="Arial" w:hint="cs"/>
          <w:noProof w:val="0"/>
          <w:rtl/>
        </w:rPr>
        <w:t>.</w:t>
      </w:r>
      <w:r w:rsidR="009E0C15">
        <w:rPr>
          <w:rFonts w:ascii="Arial" w:hAnsi="Arial" w:hint="cs"/>
          <w:noProof w:val="0"/>
          <w:rtl/>
        </w:rPr>
        <w:t xml:space="preserve"> </w:t>
      </w:r>
    </w:p>
    <w:p w:rsidR="009E0C15" w:rsidRDefault="009E0C15" w:rsidP="009E0C15">
      <w:pPr>
        <w:spacing w:line="360" w:lineRule="auto"/>
        <w:jc w:val="both"/>
        <w:rPr>
          <w:rFonts w:ascii="Arial" w:hAnsi="Arial"/>
          <w:noProof w:val="0"/>
          <w:rtl/>
        </w:rPr>
      </w:pPr>
    </w:p>
    <w:p w:rsidR="005C7F45" w:rsidRDefault="009E0C15" w:rsidP="009E0C15">
      <w:pPr>
        <w:spacing w:line="360" w:lineRule="auto"/>
        <w:jc w:val="both"/>
        <w:rPr>
          <w:rFonts w:ascii="Arial" w:hAnsi="Arial"/>
          <w:noProof w:val="0"/>
          <w:rtl/>
        </w:rPr>
      </w:pPr>
      <w:r>
        <w:rPr>
          <w:rFonts w:ascii="Arial" w:hAnsi="Arial" w:hint="cs"/>
          <w:noProof w:val="0"/>
          <w:rtl/>
        </w:rPr>
        <w:lastRenderedPageBreak/>
        <w:t>8.2</w:t>
      </w:r>
      <w:r>
        <w:rPr>
          <w:rFonts w:ascii="Arial" w:hAnsi="Arial" w:hint="cs"/>
          <w:noProof w:val="0"/>
          <w:rtl/>
        </w:rPr>
        <w:tab/>
      </w:r>
      <w:r w:rsidR="005C7F45">
        <w:rPr>
          <w:rFonts w:ascii="Arial" w:hAnsi="Arial" w:hint="cs"/>
          <w:noProof w:val="0"/>
          <w:rtl/>
        </w:rPr>
        <w:t>הנתבעים הציגו מצגי שווא, סילפו עובדות וגרמו לה לנזק בלתי הפיך. היא חויבה לשלם לנתבעים סכומי כסף ולעורכי דין שייצגו אותה עד שנותרה ללא פרוטה. כתוצאה מכך היא נאלצה למכור את הדירה, לרכוש תחתיה דירת חדר, ונותרה עם חובות שערכם כיום 1,400,000 ש</w:t>
      </w:r>
      <w:r w:rsidR="005C7F45">
        <w:rPr>
          <w:rFonts w:ascii="Arial" w:hAnsi="Arial"/>
          <w:noProof w:val="0"/>
          <w:rtl/>
        </w:rPr>
        <w:t>"</w:t>
      </w:r>
      <w:r w:rsidR="005C7F45">
        <w:rPr>
          <w:rFonts w:ascii="Arial" w:hAnsi="Arial" w:hint="cs"/>
          <w:noProof w:val="0"/>
          <w:rtl/>
        </w:rPr>
        <w:t>ח, בעטיים היא מאוימת יום ולילה על ידי נושים;</w:t>
      </w:r>
    </w:p>
    <w:p w:rsidR="005C7F45" w:rsidRDefault="005C7F45" w:rsidP="005C7F45">
      <w:pPr>
        <w:spacing w:line="360" w:lineRule="auto"/>
        <w:jc w:val="both"/>
        <w:rPr>
          <w:rFonts w:ascii="Arial" w:hAnsi="Arial"/>
          <w:noProof w:val="0"/>
          <w:rtl/>
        </w:rPr>
      </w:pPr>
    </w:p>
    <w:p w:rsidR="005C7F45" w:rsidRDefault="005C7F45" w:rsidP="00E811F7">
      <w:pPr>
        <w:spacing w:line="360" w:lineRule="auto"/>
        <w:jc w:val="both"/>
        <w:rPr>
          <w:rFonts w:ascii="Arial" w:hAnsi="Arial"/>
          <w:noProof w:val="0"/>
          <w:rtl/>
        </w:rPr>
      </w:pPr>
      <w:r>
        <w:rPr>
          <w:rFonts w:ascii="Arial" w:hAnsi="Arial" w:hint="cs"/>
          <w:noProof w:val="0"/>
          <w:rtl/>
        </w:rPr>
        <w:t>8.</w:t>
      </w:r>
      <w:r w:rsidR="009E0C15">
        <w:rPr>
          <w:rFonts w:ascii="Arial" w:hAnsi="Arial" w:hint="cs"/>
          <w:noProof w:val="0"/>
          <w:rtl/>
        </w:rPr>
        <w:t>3</w:t>
      </w:r>
      <w:r>
        <w:rPr>
          <w:rFonts w:ascii="Arial" w:hAnsi="Arial" w:hint="cs"/>
          <w:noProof w:val="0"/>
          <w:rtl/>
        </w:rPr>
        <w:tab/>
        <w:t xml:space="preserve">בשנת 2010 </w:t>
      </w:r>
      <w:r w:rsidR="009E0C15">
        <w:rPr>
          <w:rFonts w:ascii="Arial" w:hAnsi="Arial" w:hint="cs"/>
          <w:noProof w:val="0"/>
          <w:rtl/>
        </w:rPr>
        <w:t>התובעת</w:t>
      </w:r>
      <w:r>
        <w:rPr>
          <w:rFonts w:ascii="Arial" w:hAnsi="Arial" w:hint="cs"/>
          <w:noProof w:val="0"/>
          <w:rtl/>
        </w:rPr>
        <w:t xml:space="preserve"> מכרה, לבקשת המנוח שהיה מתווך ידוע בגוש דן, את זכויותיה בדירתה ב</w:t>
      </w:r>
      <w:r w:rsidR="00E811F7">
        <w:rPr>
          <w:rFonts w:ascii="Arial" w:hAnsi="Arial" w:hint="cs"/>
          <w:noProof w:val="0"/>
          <w:rtl/>
        </w:rPr>
        <w:t xml:space="preserve"> </w:t>
      </w:r>
      <w:r w:rsidR="00E811F7" w:rsidRPr="00E811F7">
        <w:rPr>
          <w:rFonts w:ascii="David" w:hAnsi="David"/>
          <w:noProof w:val="0"/>
          <w:sz w:val="20"/>
          <w:szCs w:val="20"/>
        </w:rPr>
        <w:t>XXX</w:t>
      </w:r>
      <w:r w:rsidR="00E811F7">
        <w:rPr>
          <w:rFonts w:ascii="Arial" w:hAnsi="Arial" w:hint="cs"/>
          <w:noProof w:val="0"/>
          <w:rtl/>
        </w:rPr>
        <w:t xml:space="preserve"> </w:t>
      </w:r>
      <w:r>
        <w:rPr>
          <w:rFonts w:ascii="Arial" w:hAnsi="Arial" w:hint="cs"/>
          <w:noProof w:val="0"/>
          <w:rtl/>
        </w:rPr>
        <w:t>תמורת 1,000,000 ש</w:t>
      </w:r>
      <w:r>
        <w:rPr>
          <w:rFonts w:ascii="Arial" w:hAnsi="Arial"/>
          <w:noProof w:val="0"/>
          <w:rtl/>
        </w:rPr>
        <w:t>"</w:t>
      </w:r>
      <w:r>
        <w:rPr>
          <w:rFonts w:ascii="Arial" w:hAnsi="Arial" w:hint="cs"/>
          <w:noProof w:val="0"/>
          <w:rtl/>
        </w:rPr>
        <w:t>ח, המנוח הוסיף 300,000 ש</w:t>
      </w:r>
      <w:r>
        <w:rPr>
          <w:rFonts w:ascii="Arial" w:hAnsi="Arial"/>
          <w:noProof w:val="0"/>
          <w:rtl/>
        </w:rPr>
        <w:t>"</w:t>
      </w:r>
      <w:r>
        <w:rPr>
          <w:rFonts w:ascii="Arial" w:hAnsi="Arial" w:hint="cs"/>
          <w:noProof w:val="0"/>
          <w:rtl/>
        </w:rPr>
        <w:t>ח והם קנו את הזכויות בדירה תמורת 1,300,000 ש</w:t>
      </w:r>
      <w:r>
        <w:rPr>
          <w:rFonts w:ascii="Arial" w:hAnsi="Arial"/>
          <w:noProof w:val="0"/>
          <w:rtl/>
        </w:rPr>
        <w:t>"</w:t>
      </w:r>
      <w:r>
        <w:rPr>
          <w:rFonts w:ascii="Arial" w:hAnsi="Arial" w:hint="cs"/>
          <w:noProof w:val="0"/>
          <w:rtl/>
        </w:rPr>
        <w:t>ח. המנוח הבטיח לה שמלוא הזכויות בדירה ירשמו על שמה, אך בפועל נרשם כבעלים של 25% מהזכויות בדירה. המנוח הבטיח לה בע</w:t>
      </w:r>
      <w:r w:rsidR="009E0C15">
        <w:rPr>
          <w:rFonts w:ascii="Arial" w:hAnsi="Arial" w:hint="cs"/>
          <w:noProof w:val="0"/>
          <w:rtl/>
        </w:rPr>
        <w:t>ת</w:t>
      </w:r>
      <w:r>
        <w:rPr>
          <w:rFonts w:ascii="Arial" w:hAnsi="Arial" w:hint="cs"/>
          <w:noProof w:val="0"/>
          <w:rtl/>
        </w:rPr>
        <w:t xml:space="preserve"> החתימה על ההסכם לרכישת הזכויות בדירה "כי ממש כבר למחרת היום" יעביר את הזכויות על שמה; המנוח הבטיח לה שהסכום שהשקיע לצורך רכישת הזכויות בדירה יהווה מתנה עבורה, ואף התחייב לשלם דמי שכירות חלקיים על חלקה בדירה; </w:t>
      </w:r>
    </w:p>
    <w:p w:rsidR="005C7F45" w:rsidRDefault="005C7F45" w:rsidP="005C7F45">
      <w:pPr>
        <w:spacing w:line="360" w:lineRule="auto"/>
        <w:jc w:val="both"/>
        <w:rPr>
          <w:rFonts w:ascii="Arial" w:hAnsi="Arial"/>
          <w:noProof w:val="0"/>
          <w:rtl/>
        </w:rPr>
      </w:pPr>
    </w:p>
    <w:p w:rsidR="005C7F45" w:rsidRDefault="005C7F45" w:rsidP="00E811F7">
      <w:pPr>
        <w:spacing w:line="360" w:lineRule="auto"/>
        <w:jc w:val="both"/>
        <w:rPr>
          <w:rFonts w:ascii="Arial" w:hAnsi="Arial"/>
          <w:noProof w:val="0"/>
          <w:rtl/>
        </w:rPr>
      </w:pPr>
      <w:r>
        <w:rPr>
          <w:rFonts w:ascii="Arial" w:hAnsi="Arial" w:hint="cs"/>
          <w:noProof w:val="0"/>
          <w:rtl/>
        </w:rPr>
        <w:t>8.</w:t>
      </w:r>
      <w:r w:rsidR="009E0C15">
        <w:rPr>
          <w:rFonts w:ascii="Arial" w:hAnsi="Arial" w:hint="cs"/>
          <w:noProof w:val="0"/>
          <w:rtl/>
        </w:rPr>
        <w:t>4</w:t>
      </w:r>
      <w:r>
        <w:rPr>
          <w:rFonts w:ascii="Arial" w:hAnsi="Arial" w:hint="cs"/>
          <w:noProof w:val="0"/>
          <w:rtl/>
        </w:rPr>
        <w:tab/>
        <w:t>התנאי למכירת זכויותיה בדירה ב</w:t>
      </w:r>
      <w:r w:rsidR="00E811F7">
        <w:rPr>
          <w:rFonts w:ascii="Arial" w:hAnsi="Arial" w:hint="cs"/>
          <w:noProof w:val="0"/>
          <w:rtl/>
        </w:rPr>
        <w:t xml:space="preserve"> </w:t>
      </w:r>
      <w:r w:rsidR="00E811F7" w:rsidRPr="00E811F7">
        <w:rPr>
          <w:rFonts w:ascii="David" w:hAnsi="David"/>
          <w:noProof w:val="0"/>
          <w:sz w:val="20"/>
          <w:szCs w:val="20"/>
        </w:rPr>
        <w:t>XXX</w:t>
      </w:r>
      <w:r w:rsidR="00E811F7">
        <w:rPr>
          <w:rFonts w:ascii="Arial" w:hAnsi="Arial" w:hint="cs"/>
          <w:noProof w:val="0"/>
          <w:rtl/>
        </w:rPr>
        <w:t xml:space="preserve"> </w:t>
      </w:r>
      <w:r>
        <w:rPr>
          <w:rFonts w:ascii="Arial" w:hAnsi="Arial" w:hint="cs"/>
          <w:noProof w:val="0"/>
          <w:rtl/>
        </w:rPr>
        <w:t>היה כי לאחר רכישת הזכויות בדירה ה</w:t>
      </w:r>
      <w:r w:rsidR="009E0C15">
        <w:rPr>
          <w:rFonts w:ascii="Arial" w:hAnsi="Arial" w:hint="cs"/>
          <w:noProof w:val="0"/>
          <w:rtl/>
        </w:rPr>
        <w:t>מנוח</w:t>
      </w:r>
      <w:r>
        <w:rPr>
          <w:rFonts w:ascii="Arial" w:hAnsi="Arial" w:hint="cs"/>
          <w:noProof w:val="0"/>
          <w:rtl/>
        </w:rPr>
        <w:t xml:space="preserve"> יערוך צוואה ויצווה לה את זכויותיו בדירה, וכן חלקים נוספים מעיזבונו. בכל פעם ששאלה את המנוח על אודות עריכת צוואה הוא השיב לה שאין מקום לדאגה והיא היורשת.</w:t>
      </w:r>
    </w:p>
    <w:p w:rsidR="005C7F45" w:rsidRDefault="005C7F45" w:rsidP="005C7F45">
      <w:pPr>
        <w:spacing w:line="360" w:lineRule="auto"/>
        <w:jc w:val="both"/>
        <w:rPr>
          <w:rFonts w:ascii="Arial" w:hAnsi="Arial"/>
          <w:noProof w:val="0"/>
          <w:rtl/>
        </w:rPr>
      </w:pPr>
    </w:p>
    <w:p w:rsidR="005C7F45" w:rsidRDefault="005C7F45" w:rsidP="005C7F45">
      <w:pPr>
        <w:spacing w:line="360" w:lineRule="auto"/>
        <w:jc w:val="both"/>
        <w:rPr>
          <w:rFonts w:ascii="Arial" w:hAnsi="Arial"/>
          <w:noProof w:val="0"/>
          <w:rtl/>
        </w:rPr>
      </w:pPr>
      <w:r>
        <w:rPr>
          <w:rFonts w:ascii="Arial" w:hAnsi="Arial" w:hint="cs"/>
          <w:noProof w:val="0"/>
          <w:rtl/>
        </w:rPr>
        <w:t>8.5</w:t>
      </w:r>
      <w:r>
        <w:rPr>
          <w:rFonts w:ascii="Arial" w:hAnsi="Arial" w:hint="cs"/>
          <w:noProof w:val="0"/>
          <w:rtl/>
        </w:rPr>
        <w:tab/>
        <w:t>המנוח הבטיח לה שהיא תמשיך את עסק התיווך שלו, ובצוואתו משנת 2010 המנוח ציווה במפורש ש</w:t>
      </w:r>
      <w:r w:rsidRPr="009E0C15">
        <w:rPr>
          <w:rFonts w:ascii="Arial" w:hAnsi="Arial" w:hint="cs"/>
          <w:i/>
          <w:iCs/>
          <w:noProof w:val="0"/>
          <w:rtl/>
        </w:rPr>
        <w:t>"משרד התיווך יהיה ירושה עבורה בלבד"</w:t>
      </w:r>
      <w:r>
        <w:rPr>
          <w:rFonts w:ascii="Arial" w:hAnsi="Arial" w:hint="cs"/>
          <w:noProof w:val="0"/>
          <w:rtl/>
        </w:rPr>
        <w:t>, והמנוח התחייב בפניה שעסקי התיווך יועברו אליה במלואם לאחר פטירתו.</w:t>
      </w:r>
    </w:p>
    <w:p w:rsidR="005C7F45" w:rsidRDefault="005C7F45" w:rsidP="005C7F45">
      <w:pPr>
        <w:spacing w:line="360" w:lineRule="auto"/>
        <w:jc w:val="both"/>
        <w:rPr>
          <w:rFonts w:ascii="Arial" w:hAnsi="Arial"/>
          <w:noProof w:val="0"/>
          <w:rtl/>
        </w:rPr>
      </w:pPr>
    </w:p>
    <w:p w:rsidR="005C7F45" w:rsidRDefault="005C7F45" w:rsidP="005F5CE1">
      <w:pPr>
        <w:spacing w:line="360" w:lineRule="auto"/>
        <w:jc w:val="both"/>
        <w:rPr>
          <w:rFonts w:ascii="Arial" w:hAnsi="Arial"/>
          <w:noProof w:val="0"/>
          <w:rtl/>
        </w:rPr>
      </w:pPr>
      <w:r>
        <w:rPr>
          <w:rFonts w:ascii="Arial" w:hAnsi="Arial" w:hint="cs"/>
          <w:noProof w:val="0"/>
          <w:rtl/>
        </w:rPr>
        <w:t>8.6</w:t>
      </w:r>
      <w:r>
        <w:rPr>
          <w:rFonts w:ascii="Arial" w:hAnsi="Arial" w:hint="cs"/>
          <w:noProof w:val="0"/>
          <w:rtl/>
        </w:rPr>
        <w:tab/>
        <w:t xml:space="preserve">למיטב ידיעתה בשנת </w:t>
      </w:r>
      <w:r w:rsidR="005F5CE1">
        <w:rPr>
          <w:rFonts w:ascii="Arial" w:hAnsi="Arial" w:hint="cs"/>
          <w:noProof w:val="0"/>
          <w:rtl/>
        </w:rPr>
        <w:t>2010</w:t>
      </w:r>
      <w:r>
        <w:rPr>
          <w:rFonts w:ascii="Arial" w:hAnsi="Arial" w:hint="cs"/>
          <w:noProof w:val="0"/>
          <w:rtl/>
        </w:rPr>
        <w:t xml:space="preserve"> המנוח ערך צוואה וציווה לה את זכויותיו בדירה ובמשרד התיווך. כחצי שנה לאחר פטירת המנוח הנתבעים החתימו אותה על מסמך סתמי שהיא מוותרת על עסקי התיווך ובתמורה הבטיחה לה שהזכויות בדירה יועברו לבעלותה.</w:t>
      </w:r>
    </w:p>
    <w:p w:rsidR="005C7F45" w:rsidRDefault="005C7F45" w:rsidP="005C7F45">
      <w:pPr>
        <w:spacing w:line="360" w:lineRule="auto"/>
        <w:jc w:val="both"/>
        <w:rPr>
          <w:rFonts w:ascii="Arial" w:hAnsi="Arial"/>
          <w:noProof w:val="0"/>
          <w:rtl/>
        </w:rPr>
      </w:pPr>
    </w:p>
    <w:p w:rsidR="005C7F45" w:rsidRDefault="005C7F45" w:rsidP="005C7F45">
      <w:pPr>
        <w:spacing w:line="360" w:lineRule="auto"/>
        <w:jc w:val="both"/>
        <w:rPr>
          <w:rFonts w:ascii="Arial" w:hAnsi="Arial"/>
          <w:noProof w:val="0"/>
          <w:rtl/>
        </w:rPr>
      </w:pPr>
      <w:r>
        <w:rPr>
          <w:rFonts w:ascii="Arial" w:hAnsi="Arial" w:hint="cs"/>
          <w:noProof w:val="0"/>
          <w:rtl/>
        </w:rPr>
        <w:t>8.7</w:t>
      </w:r>
      <w:r>
        <w:rPr>
          <w:rFonts w:ascii="Arial" w:hAnsi="Arial" w:hint="cs"/>
          <w:noProof w:val="0"/>
          <w:rtl/>
        </w:rPr>
        <w:tab/>
        <w:t xml:space="preserve">הנתבעים הגישו תביעה לפירוק שיתוף שנדונה הן בבית משפט השלום והן בבית המשפט המחוזי ונקבע שיש לפרק את שיתוף הזכויות בדירה וכן שעליה לשלם דמי שימוש ראויים. </w:t>
      </w:r>
      <w:r w:rsidRPr="00E811F7">
        <w:rPr>
          <w:rFonts w:ascii="Arial" w:hAnsi="Arial" w:hint="cs"/>
          <w:i/>
          <w:iCs/>
          <w:noProof w:val="0"/>
          <w:rtl/>
        </w:rPr>
        <w:t>"במקביל נפסק כי העניין, באם ידון שוב, יידון בביהמ"ש לענייני משפחה בתל אביב"</w:t>
      </w:r>
      <w:r>
        <w:rPr>
          <w:rFonts w:ascii="Arial" w:hAnsi="Arial" w:hint="cs"/>
          <w:noProof w:val="0"/>
          <w:rtl/>
        </w:rPr>
        <w:t>.</w:t>
      </w:r>
    </w:p>
    <w:p w:rsidR="005C7F45" w:rsidRDefault="005C7F45" w:rsidP="005C7F45">
      <w:pPr>
        <w:spacing w:line="360" w:lineRule="auto"/>
        <w:jc w:val="both"/>
        <w:rPr>
          <w:rFonts w:ascii="Arial" w:hAnsi="Arial"/>
          <w:noProof w:val="0"/>
          <w:rtl/>
        </w:rPr>
      </w:pPr>
    </w:p>
    <w:p w:rsidR="005C7F45" w:rsidRDefault="005C7F45" w:rsidP="005C7F45">
      <w:pPr>
        <w:spacing w:line="360" w:lineRule="auto"/>
        <w:jc w:val="both"/>
        <w:rPr>
          <w:rFonts w:ascii="Arial" w:hAnsi="Arial"/>
          <w:noProof w:val="0"/>
          <w:rtl/>
        </w:rPr>
      </w:pPr>
      <w:r>
        <w:rPr>
          <w:rFonts w:ascii="Arial" w:hAnsi="Arial" w:hint="cs"/>
          <w:noProof w:val="0"/>
          <w:rtl/>
        </w:rPr>
        <w:t>8.8</w:t>
      </w:r>
      <w:r>
        <w:rPr>
          <w:rFonts w:ascii="Arial" w:hAnsi="Arial" w:hint="cs"/>
          <w:noProof w:val="0"/>
          <w:rtl/>
        </w:rPr>
        <w:tab/>
        <w:t>התובעת נטלה, הלוואה בסך 360,000 ש</w:t>
      </w:r>
      <w:r>
        <w:rPr>
          <w:rFonts w:ascii="Arial" w:hAnsi="Arial"/>
          <w:noProof w:val="0"/>
          <w:rtl/>
        </w:rPr>
        <w:t>"</w:t>
      </w:r>
      <w:r>
        <w:rPr>
          <w:rFonts w:ascii="Arial" w:hAnsi="Arial" w:hint="cs"/>
          <w:noProof w:val="0"/>
          <w:rtl/>
        </w:rPr>
        <w:t>ח לצורך רכישת זכויות הנתבע</w:t>
      </w:r>
      <w:r w:rsidR="00E811F7">
        <w:rPr>
          <w:rFonts w:ascii="Arial" w:hAnsi="Arial" w:hint="cs"/>
          <w:noProof w:val="0"/>
          <w:rtl/>
        </w:rPr>
        <w:t xml:space="preserve"> בדירה</w:t>
      </w:r>
      <w:r>
        <w:rPr>
          <w:rFonts w:ascii="Arial" w:hAnsi="Arial" w:hint="cs"/>
          <w:noProof w:val="0"/>
          <w:rtl/>
        </w:rPr>
        <w:t xml:space="preserve">, </w:t>
      </w:r>
      <w:r w:rsidRPr="005C7F45">
        <w:rPr>
          <w:rFonts w:ascii="Arial" w:hAnsi="Arial" w:hint="cs"/>
          <w:i/>
          <w:iCs/>
          <w:noProof w:val="0"/>
          <w:rtl/>
        </w:rPr>
        <w:t>"אך תאבונם של הנתבעים רק הלך וגדל"</w:t>
      </w:r>
      <w:r>
        <w:rPr>
          <w:rFonts w:ascii="Arial" w:hAnsi="Arial" w:hint="cs"/>
          <w:noProof w:val="0"/>
          <w:rtl/>
        </w:rPr>
        <w:t xml:space="preserve">, ומאז היא נטלה </w:t>
      </w:r>
      <w:r w:rsidRPr="005C7F45">
        <w:rPr>
          <w:rFonts w:ascii="Arial" w:hAnsi="Arial" w:hint="cs"/>
          <w:i/>
          <w:iCs/>
          <w:noProof w:val="0"/>
          <w:rtl/>
        </w:rPr>
        <w:t>"הלוואות על הלוואות"</w:t>
      </w:r>
      <w:r>
        <w:rPr>
          <w:rFonts w:ascii="Arial" w:hAnsi="Arial" w:hint="cs"/>
          <w:noProof w:val="0"/>
          <w:rtl/>
        </w:rPr>
        <w:t xml:space="preserve">, נקלעה לחובות רבים, נאלצה למכור את הדירה, עומדים נגדה תיקי הוצאה לפועל והיא נותרה חסרת כל בשל תאוות הבצע של הנתבעים שהשתלטו על העיזבון בלא שחלקו לה </w:t>
      </w:r>
      <w:r w:rsidRPr="005C7F45">
        <w:rPr>
          <w:rFonts w:ascii="Arial" w:hAnsi="Arial" w:hint="cs"/>
          <w:i/>
          <w:iCs/>
          <w:noProof w:val="0"/>
          <w:rtl/>
        </w:rPr>
        <w:t>"את המגיע לה מכח חוק ידועים בציבור"</w:t>
      </w:r>
      <w:r>
        <w:rPr>
          <w:rFonts w:ascii="Arial" w:hAnsi="Arial" w:hint="cs"/>
          <w:noProof w:val="0"/>
          <w:rtl/>
        </w:rPr>
        <w:t>.</w:t>
      </w:r>
    </w:p>
    <w:p w:rsidR="005C7F45" w:rsidRDefault="005C7F45" w:rsidP="005C7F45">
      <w:pPr>
        <w:spacing w:line="360" w:lineRule="auto"/>
        <w:jc w:val="both"/>
        <w:rPr>
          <w:rFonts w:ascii="Arial" w:hAnsi="Arial"/>
          <w:noProof w:val="0"/>
          <w:rtl/>
        </w:rPr>
      </w:pPr>
    </w:p>
    <w:p w:rsidR="005C7F45" w:rsidRDefault="005C7F45" w:rsidP="005F5CE1">
      <w:pPr>
        <w:spacing w:line="360" w:lineRule="auto"/>
        <w:jc w:val="both"/>
        <w:rPr>
          <w:rFonts w:ascii="Arial" w:hAnsi="Arial"/>
          <w:noProof w:val="0"/>
          <w:rtl/>
        </w:rPr>
      </w:pPr>
      <w:r>
        <w:rPr>
          <w:rFonts w:ascii="Arial" w:hAnsi="Arial" w:hint="cs"/>
          <w:noProof w:val="0"/>
          <w:rtl/>
        </w:rPr>
        <w:t>9.</w:t>
      </w:r>
      <w:r>
        <w:rPr>
          <w:rFonts w:ascii="Arial" w:hAnsi="Arial" w:hint="cs"/>
          <w:noProof w:val="0"/>
          <w:rtl/>
        </w:rPr>
        <w:tab/>
        <w:t xml:space="preserve">עם הגשת כתב התביעה </w:t>
      </w:r>
      <w:r w:rsidR="005F5CE1">
        <w:rPr>
          <w:rFonts w:ascii="Arial" w:hAnsi="Arial" w:hint="cs"/>
          <w:noProof w:val="0"/>
          <w:rtl/>
        </w:rPr>
        <w:t xml:space="preserve">בהליך זה </w:t>
      </w:r>
      <w:r>
        <w:rPr>
          <w:rFonts w:ascii="Arial" w:hAnsi="Arial" w:hint="cs"/>
          <w:noProof w:val="0"/>
          <w:rtl/>
        </w:rPr>
        <w:t>התובעת עתרה לפטור מתשלום אגרת התביעה. ביום 11.2.2024 כב' הרשמת (כתוארה אז) גלי רון דחתה את בקשתה והורתה ש</w:t>
      </w:r>
      <w:r w:rsidR="005F5CE1">
        <w:rPr>
          <w:rFonts w:ascii="Arial" w:hAnsi="Arial" w:hint="cs"/>
          <w:noProof w:val="0"/>
          <w:rtl/>
        </w:rPr>
        <w:t>ה</w:t>
      </w:r>
      <w:r>
        <w:rPr>
          <w:rFonts w:ascii="Arial" w:hAnsi="Arial" w:hint="cs"/>
          <w:noProof w:val="0"/>
          <w:rtl/>
        </w:rPr>
        <w:t>אגר</w:t>
      </w:r>
      <w:r w:rsidR="005F5CE1">
        <w:rPr>
          <w:rFonts w:ascii="Arial" w:hAnsi="Arial" w:hint="cs"/>
          <w:noProof w:val="0"/>
          <w:rtl/>
        </w:rPr>
        <w:t>ה</w:t>
      </w:r>
      <w:r>
        <w:rPr>
          <w:rFonts w:ascii="Arial" w:hAnsi="Arial" w:hint="cs"/>
          <w:noProof w:val="0"/>
          <w:rtl/>
        </w:rPr>
        <w:t xml:space="preserve"> תשולם בחמישה תשלומים שווים החל מיום 18.2.2024. בהתאמה קדם המשפט נקבע ליום 1.7.2024.</w:t>
      </w:r>
    </w:p>
    <w:p w:rsidR="005C7F45" w:rsidRDefault="005C7F45" w:rsidP="005C7F45">
      <w:pPr>
        <w:spacing w:line="360" w:lineRule="auto"/>
        <w:jc w:val="both"/>
        <w:rPr>
          <w:rFonts w:ascii="Arial" w:hAnsi="Arial"/>
          <w:noProof w:val="0"/>
          <w:rtl/>
        </w:rPr>
      </w:pPr>
    </w:p>
    <w:p w:rsidR="005F5CE1" w:rsidRDefault="005C7F45" w:rsidP="009E0C15">
      <w:pPr>
        <w:spacing w:line="360" w:lineRule="auto"/>
        <w:jc w:val="both"/>
        <w:rPr>
          <w:rFonts w:ascii="Arial" w:hAnsi="Arial"/>
          <w:noProof w:val="0"/>
          <w:rtl/>
        </w:rPr>
      </w:pPr>
      <w:r>
        <w:rPr>
          <w:rFonts w:ascii="Arial" w:hAnsi="Arial" w:hint="cs"/>
          <w:noProof w:val="0"/>
          <w:rtl/>
        </w:rPr>
        <w:t>10.</w:t>
      </w:r>
      <w:r>
        <w:rPr>
          <w:rFonts w:ascii="Arial" w:hAnsi="Arial" w:hint="cs"/>
          <w:noProof w:val="0"/>
          <w:rtl/>
        </w:rPr>
        <w:tab/>
        <w:t xml:space="preserve">הנתבעים עתרו לסילוק ולדחיית התביעה על הסף משום העדר עילה, התיישנות, שיהוי, העדר יריבות והשתק, וטענו כך: התובעת לא התנגדה לקיום צוואת המנוח והעיזבון חולק זה מכבר; </w:t>
      </w:r>
      <w:r w:rsidR="009E0C15">
        <w:rPr>
          <w:rFonts w:ascii="Arial" w:hAnsi="Arial" w:hint="cs"/>
          <w:noProof w:val="0"/>
          <w:rtl/>
        </w:rPr>
        <w:t xml:space="preserve">טענות התובעת נדונו ונדחו בגדרי </w:t>
      </w:r>
      <w:r>
        <w:rPr>
          <w:rFonts w:ascii="Arial" w:hAnsi="Arial" w:hint="cs"/>
          <w:noProof w:val="0"/>
          <w:rtl/>
        </w:rPr>
        <w:t xml:space="preserve">פסקי הדין </w:t>
      </w:r>
      <w:r w:rsidR="005F5CE1">
        <w:rPr>
          <w:rFonts w:ascii="Arial" w:hAnsi="Arial" w:hint="cs"/>
          <w:noProof w:val="0"/>
          <w:rtl/>
        </w:rPr>
        <w:t>ל</w:t>
      </w:r>
      <w:r>
        <w:rPr>
          <w:rFonts w:ascii="Arial" w:hAnsi="Arial" w:hint="cs"/>
          <w:noProof w:val="0"/>
          <w:rtl/>
        </w:rPr>
        <w:t>פירוק שיתוף הזכויות בדירה ו</w:t>
      </w:r>
      <w:r w:rsidR="009E0C15">
        <w:rPr>
          <w:rFonts w:ascii="Arial" w:hAnsi="Arial" w:hint="cs"/>
          <w:noProof w:val="0"/>
          <w:rtl/>
        </w:rPr>
        <w:t>ל</w:t>
      </w:r>
      <w:r w:rsidR="005F5CE1">
        <w:rPr>
          <w:rFonts w:ascii="Arial" w:hAnsi="Arial" w:hint="cs"/>
          <w:noProof w:val="0"/>
          <w:rtl/>
        </w:rPr>
        <w:t xml:space="preserve">תשלום </w:t>
      </w:r>
      <w:r>
        <w:rPr>
          <w:rFonts w:ascii="Arial" w:hAnsi="Arial" w:hint="cs"/>
          <w:noProof w:val="0"/>
          <w:rtl/>
        </w:rPr>
        <w:t>דמי שימוש ראויים ו</w:t>
      </w:r>
      <w:r w:rsidR="009E0C15">
        <w:rPr>
          <w:rFonts w:ascii="Arial" w:hAnsi="Arial" w:hint="cs"/>
          <w:noProof w:val="0"/>
          <w:rtl/>
        </w:rPr>
        <w:t>התובעת לא ערערה עליהם;</w:t>
      </w:r>
      <w:r>
        <w:rPr>
          <w:rFonts w:ascii="Arial" w:hAnsi="Arial" w:hint="cs"/>
          <w:noProof w:val="0"/>
          <w:rtl/>
        </w:rPr>
        <w:t xml:space="preserve"> ערכאה זו אינה מהווה ערכאת ערעור על פסקי הדין</w:t>
      </w:r>
      <w:r w:rsidR="005F5CE1">
        <w:rPr>
          <w:rFonts w:ascii="Arial" w:hAnsi="Arial" w:hint="cs"/>
          <w:noProof w:val="0"/>
          <w:rtl/>
        </w:rPr>
        <w:t xml:space="preserve"> האמורים;</w:t>
      </w:r>
    </w:p>
    <w:p w:rsidR="005C7F45" w:rsidRDefault="005C7F45" w:rsidP="005C7F45">
      <w:pPr>
        <w:spacing w:line="360" w:lineRule="auto"/>
        <w:jc w:val="both"/>
        <w:rPr>
          <w:rFonts w:ascii="Arial" w:hAnsi="Arial"/>
          <w:noProof w:val="0"/>
          <w:rtl/>
        </w:rPr>
      </w:pPr>
    </w:p>
    <w:p w:rsidR="005C7F45" w:rsidRDefault="005C7F45" w:rsidP="005C7F45">
      <w:pPr>
        <w:spacing w:line="360" w:lineRule="auto"/>
        <w:jc w:val="both"/>
        <w:rPr>
          <w:rFonts w:ascii="Arial" w:hAnsi="Arial"/>
          <w:noProof w:val="0"/>
          <w:rtl/>
        </w:rPr>
      </w:pPr>
      <w:r>
        <w:rPr>
          <w:rFonts w:ascii="Arial" w:hAnsi="Arial" w:hint="cs"/>
          <w:noProof w:val="0"/>
          <w:rtl/>
        </w:rPr>
        <w:t>11.</w:t>
      </w:r>
      <w:r>
        <w:rPr>
          <w:rFonts w:ascii="Arial" w:hAnsi="Arial" w:hint="cs"/>
          <w:noProof w:val="0"/>
          <w:rtl/>
        </w:rPr>
        <w:tab/>
        <w:t>התובעת השיבה ש</w:t>
      </w:r>
      <w:r w:rsidRPr="005F5CE1">
        <w:rPr>
          <w:rFonts w:ascii="Arial" w:hAnsi="Arial" w:hint="cs"/>
          <w:i/>
          <w:iCs/>
          <w:noProof w:val="0"/>
          <w:rtl/>
        </w:rPr>
        <w:t>"גם רוצחים זכאים למשפט חוזר"</w:t>
      </w:r>
      <w:r>
        <w:rPr>
          <w:rFonts w:ascii="Arial" w:hAnsi="Arial" w:hint="cs"/>
          <w:noProof w:val="0"/>
          <w:rtl/>
        </w:rPr>
        <w:t xml:space="preserve"> ואין בפי הנתבעים טעם ענייני מדוע התביעה לפירוק שיתוף לא תידון מחדש בערכאה זו, ואף </w:t>
      </w:r>
      <w:r w:rsidR="009E0C15">
        <w:rPr>
          <w:rFonts w:ascii="Arial" w:hAnsi="Arial" w:hint="cs"/>
          <w:noProof w:val="0"/>
          <w:rtl/>
        </w:rPr>
        <w:t>ש</w:t>
      </w:r>
      <w:r>
        <w:rPr>
          <w:rFonts w:ascii="Arial" w:hAnsi="Arial" w:hint="cs"/>
          <w:noProof w:val="0"/>
          <w:rtl/>
        </w:rPr>
        <w:t xml:space="preserve">טענותיה נדונו </w:t>
      </w:r>
      <w:r w:rsidRPr="005F5CE1">
        <w:rPr>
          <w:rFonts w:ascii="Arial" w:hAnsi="Arial" w:hint="cs"/>
          <w:i/>
          <w:iCs/>
          <w:noProof w:val="0"/>
          <w:rtl/>
        </w:rPr>
        <w:t>"ישנם דברים שיש בפתיחתם די על מנת לשפוך אור על המקרה ואשר בכוחם לשנות את ההכרעה מן הקצה אל הקצה"</w:t>
      </w:r>
      <w:r>
        <w:rPr>
          <w:rFonts w:ascii="Arial" w:hAnsi="Arial" w:hint="cs"/>
          <w:noProof w:val="0"/>
          <w:rtl/>
        </w:rPr>
        <w:t xml:space="preserve">; הנתבעים מבקשים להתעלם מחובתם לפצות אותה על העוול הגדול שגרמו לה, איבוד כל שהיה לה </w:t>
      </w:r>
      <w:r w:rsidRPr="005C7F45">
        <w:rPr>
          <w:rFonts w:ascii="Arial" w:hAnsi="Arial" w:hint="cs"/>
          <w:i/>
          <w:iCs/>
          <w:noProof w:val="0"/>
          <w:rtl/>
        </w:rPr>
        <w:t>"קורת גג, משרד תיווך וכספים שהותיר לה המנוח"</w:t>
      </w:r>
      <w:r>
        <w:rPr>
          <w:rFonts w:ascii="Arial" w:hAnsi="Arial" w:hint="cs"/>
          <w:noProof w:val="0"/>
          <w:rtl/>
        </w:rPr>
        <w:t xml:space="preserve">; יש לאפשר לה להוכיח את העוקץ וההונאה שהנתבעים עשו בין הצוואה שהמנוח ערך בשנת 2010 לבין הצוואה שערך בשנת 2012, בכוח ובהשפעה בלתי הוגנת בעת שהמנוח גסס; טענות שיהוי והתיישנות אינן רלוונטיות משום שחובותיה לא התיישנו והיא נושאת על גבה את הנזקים הכבדים שהנתבעים גרמו לה; </w:t>
      </w:r>
    </w:p>
    <w:p w:rsidR="00A917F0" w:rsidRDefault="00A917F0" w:rsidP="005C7F45">
      <w:pPr>
        <w:spacing w:line="360" w:lineRule="auto"/>
        <w:jc w:val="both"/>
        <w:rPr>
          <w:rFonts w:ascii="Arial" w:hAnsi="Arial"/>
          <w:noProof w:val="0"/>
          <w:rtl/>
        </w:rPr>
      </w:pPr>
    </w:p>
    <w:p w:rsidR="00A917F0" w:rsidRDefault="00A917F0" w:rsidP="00E811F7">
      <w:pPr>
        <w:spacing w:line="360" w:lineRule="auto"/>
        <w:jc w:val="both"/>
        <w:rPr>
          <w:rtl/>
        </w:rPr>
      </w:pPr>
      <w:r>
        <w:rPr>
          <w:rFonts w:ascii="Arial" w:hAnsi="Arial" w:hint="cs"/>
          <w:noProof w:val="0"/>
          <w:rtl/>
        </w:rPr>
        <w:t>12.</w:t>
      </w:r>
      <w:r>
        <w:rPr>
          <w:rFonts w:ascii="Arial" w:hAnsi="Arial" w:hint="cs"/>
          <w:noProof w:val="0"/>
          <w:rtl/>
        </w:rPr>
        <w:tab/>
        <w:t xml:space="preserve">בקדם המשפט בית המשפט ביקש את הבהרת התובעת מכח מה היא טוענת בגדרי תביעה נזיקית </w:t>
      </w:r>
      <w:r w:rsidR="009E0C15">
        <w:rPr>
          <w:rFonts w:ascii="Arial" w:hAnsi="Arial" w:hint="cs"/>
          <w:noProof w:val="0"/>
          <w:rtl/>
        </w:rPr>
        <w:t>לזכ</w:t>
      </w:r>
      <w:r>
        <w:rPr>
          <w:rFonts w:ascii="Arial" w:hAnsi="Arial" w:hint="cs"/>
          <w:noProof w:val="0"/>
          <w:rtl/>
        </w:rPr>
        <w:t>ות במחצית מעיזבון המנוח ותשובתה היתה</w:t>
      </w:r>
      <w:r w:rsidR="00E811F7">
        <w:rPr>
          <w:rFonts w:ascii="Arial" w:hAnsi="Arial" w:hint="cs"/>
          <w:noProof w:val="0"/>
          <w:rtl/>
        </w:rPr>
        <w:t>:</w:t>
      </w:r>
      <w:r>
        <w:rPr>
          <w:rFonts w:ascii="Arial" w:hAnsi="Arial" w:hint="cs"/>
          <w:noProof w:val="0"/>
          <w:rtl/>
        </w:rPr>
        <w:t xml:space="preserve"> מכח הצוואה שהמנוח ערך בשנת 2010 ומכח היותה ידועה בציבור של המנוח. לאור תשובתה בית המשפט הבהיר שלעניין הצוואה הנטענת משנת 2010 - מעת שקוימה צוואה מאוחרת יותר שהמנוח ערך, הדרך בה יש לילך היא הגשת תביעה לביטול צו הקיום </w:t>
      </w:r>
      <w:r w:rsidR="00E811F7">
        <w:rPr>
          <w:rFonts w:ascii="Arial" w:hAnsi="Arial" w:hint="cs"/>
          <w:noProof w:val="0"/>
          <w:rtl/>
        </w:rPr>
        <w:t>בהתאם ל</w:t>
      </w:r>
      <w:r>
        <w:rPr>
          <w:rFonts w:ascii="Arial" w:hAnsi="Arial" w:hint="cs"/>
          <w:noProof w:val="0"/>
          <w:rtl/>
        </w:rPr>
        <w:t xml:space="preserve">סעיף 72 לחוק הירושה ולא תביעה כספית-נזיקית כפי שהוגשה, ולעניין היותה ידועה בציבור של המנוח </w:t>
      </w:r>
      <w:r>
        <w:rPr>
          <w:rFonts w:ascii="Arial" w:hAnsi="Arial"/>
          <w:noProof w:val="0"/>
          <w:rtl/>
        </w:rPr>
        <w:t>–</w:t>
      </w:r>
      <w:r>
        <w:rPr>
          <w:rFonts w:ascii="Arial" w:hAnsi="Arial" w:hint="cs"/>
          <w:noProof w:val="0"/>
          <w:rtl/>
        </w:rPr>
        <w:t xml:space="preserve"> מעת שהמנוח ערך צוואה עצם היותה ידועה בציבור לא מקנה לה מחצית מהעיזבון, ו</w:t>
      </w:r>
      <w:r w:rsidR="00E811F7">
        <w:rPr>
          <w:rFonts w:ascii="Arial" w:hAnsi="Arial" w:hint="cs"/>
          <w:noProof w:val="0"/>
          <w:rtl/>
        </w:rPr>
        <w:t xml:space="preserve">היה עליה </w:t>
      </w:r>
      <w:r>
        <w:rPr>
          <w:rFonts w:ascii="Arial" w:hAnsi="Arial" w:hint="cs"/>
          <w:noProof w:val="0"/>
          <w:rtl/>
        </w:rPr>
        <w:t xml:space="preserve">להגיש תביעה רכושית </w:t>
      </w:r>
      <w:r>
        <w:rPr>
          <w:rFonts w:hint="cs"/>
          <w:rtl/>
        </w:rPr>
        <w:t xml:space="preserve">ולהוכיח כוונת שיתוף ביחס לרכוש שנצבר טרם הקשר הזוגי, ואולם שיתוף כאמור הוא דו צדדי, ועל פניו קשה להלום טענה לכוונת שיתוף נוכח ההפרדה הרכושית בהסכם הממון. </w:t>
      </w:r>
      <w:r w:rsidR="00E811F7">
        <w:rPr>
          <w:rFonts w:hint="cs"/>
          <w:rtl/>
        </w:rPr>
        <w:t xml:space="preserve">בתום הדיון הובהר לתובעת כך: </w:t>
      </w:r>
      <w:r>
        <w:rPr>
          <w:rFonts w:hint="cs"/>
          <w:rtl/>
        </w:rPr>
        <w:t>"</w:t>
      </w:r>
      <w:r w:rsidRPr="00A917F0">
        <w:rPr>
          <w:rFonts w:hint="cs"/>
          <w:i/>
          <w:iCs/>
          <w:rtl/>
        </w:rPr>
        <w:t xml:space="preserve">התסכול של התובעת מובן אך התביעה כפי שהוגשה אינה מגלה עילת תביעה. ככל שהתובעת תבקש למחוק את התביעה תושב לה האגרה ובית משפט יתחשב </w:t>
      </w:r>
      <w:r w:rsidR="005F5CE1">
        <w:rPr>
          <w:rFonts w:hint="cs"/>
          <w:i/>
          <w:iCs/>
          <w:rtl/>
        </w:rPr>
        <w:t xml:space="preserve">(צ"ל יבקש) </w:t>
      </w:r>
      <w:r w:rsidRPr="00A917F0">
        <w:rPr>
          <w:rFonts w:hint="cs"/>
          <w:i/>
          <w:iCs/>
          <w:rtl/>
        </w:rPr>
        <w:t>את התחשבות הנתבעים בענין הוצאות המשפט. ככל שהתובעת מבקשת להמשיך את ניהול ההליך תשלים את טיעוניה בענין הבקשה לסילוק על הסף והחלטה תינתן".</w:t>
      </w:r>
    </w:p>
    <w:p w:rsidR="00A917F0" w:rsidRDefault="00A917F0" w:rsidP="00A917F0">
      <w:pPr>
        <w:spacing w:line="360" w:lineRule="auto"/>
        <w:jc w:val="both"/>
        <w:rPr>
          <w:rtl/>
        </w:rPr>
      </w:pPr>
    </w:p>
    <w:p w:rsidR="005F5CE1" w:rsidRDefault="00A917F0" w:rsidP="00E811F7">
      <w:pPr>
        <w:spacing w:line="360" w:lineRule="auto"/>
        <w:jc w:val="both"/>
        <w:rPr>
          <w:rtl/>
        </w:rPr>
      </w:pPr>
      <w:r>
        <w:rPr>
          <w:rFonts w:hint="cs"/>
          <w:rtl/>
        </w:rPr>
        <w:t>13.</w:t>
      </w:r>
      <w:r>
        <w:rPr>
          <w:rFonts w:hint="cs"/>
          <w:rtl/>
        </w:rPr>
        <w:tab/>
        <w:t>לבקשת התובעת</w:t>
      </w:r>
      <w:r w:rsidR="005F5CE1">
        <w:rPr>
          <w:rFonts w:hint="cs"/>
          <w:rtl/>
        </w:rPr>
        <w:t xml:space="preserve"> בתום קדם המשפט</w:t>
      </w:r>
      <w:r>
        <w:rPr>
          <w:rFonts w:hint="cs"/>
          <w:rtl/>
        </w:rPr>
        <w:t xml:space="preserve"> ניתנה לה שהות לשקול </w:t>
      </w:r>
      <w:r w:rsidR="00E811F7">
        <w:rPr>
          <w:rFonts w:hint="cs"/>
          <w:rtl/>
        </w:rPr>
        <w:t xml:space="preserve">את </w:t>
      </w:r>
      <w:r>
        <w:rPr>
          <w:rFonts w:hint="cs"/>
          <w:rtl/>
        </w:rPr>
        <w:t>עמדתה</w:t>
      </w:r>
      <w:r w:rsidR="005F5CE1">
        <w:rPr>
          <w:rFonts w:hint="cs"/>
          <w:rtl/>
        </w:rPr>
        <w:t>. בחלוף שבוע התובעת הודיעה שהיא עומדת על ניהול ההליך ו</w:t>
      </w:r>
      <w:r w:rsidR="005F5CE1" w:rsidRPr="005F5CE1">
        <w:rPr>
          <w:rFonts w:hint="cs"/>
          <w:i/>
          <w:iCs/>
          <w:rtl/>
        </w:rPr>
        <w:t xml:space="preserve">"גם לרוצחים שפסק דינם נחרץ נתנו לאחר שנים רבות הזדמנויות להשמיע את קולם </w:t>
      </w:r>
      <w:r w:rsidR="005F5CE1">
        <w:rPr>
          <w:rFonts w:hint="cs"/>
          <w:i/>
          <w:iCs/>
          <w:rtl/>
        </w:rPr>
        <w:t xml:space="preserve">אשר לעיתים הפך את הקערה </w:t>
      </w:r>
      <w:r w:rsidR="005F5CE1" w:rsidRPr="005F5CE1">
        <w:rPr>
          <w:rFonts w:hint="cs"/>
          <w:i/>
          <w:iCs/>
          <w:rtl/>
        </w:rPr>
        <w:t>על פיה"</w:t>
      </w:r>
      <w:r w:rsidR="005F5CE1">
        <w:rPr>
          <w:rFonts w:hint="cs"/>
          <w:rtl/>
        </w:rPr>
        <w:t>, והוסיפה: קולה לא נשמע בהליכים שהתנהלו בעניין פירוק שיתוף הזכויות בדירה ותשלום דמי שימוש משום שהיתה שרויה באבל כבד על פטירת אמה והמנוח בתוך פחות משנה; רק באזכרת השנה לפטירת המנוח היא למדה על אודות קיום הצוואה שהמנוח ערך; היא איבדה את כל רכושה לרבות הדירה ב</w:t>
      </w:r>
      <w:r w:rsidR="00E811F7" w:rsidRPr="00E811F7">
        <w:rPr>
          <w:rFonts w:ascii="David" w:hAnsi="David"/>
          <w:noProof w:val="0"/>
          <w:sz w:val="20"/>
          <w:szCs w:val="20"/>
        </w:rPr>
        <w:t xml:space="preserve"> XXX</w:t>
      </w:r>
      <w:r w:rsidR="00E811F7">
        <w:rPr>
          <w:rFonts w:ascii="Arial" w:hAnsi="Arial" w:hint="cs"/>
          <w:noProof w:val="0"/>
          <w:rtl/>
        </w:rPr>
        <w:t xml:space="preserve"> </w:t>
      </w:r>
      <w:r w:rsidR="005F5CE1">
        <w:rPr>
          <w:rFonts w:hint="cs"/>
          <w:rtl/>
        </w:rPr>
        <w:t xml:space="preserve">שנמכרה לצורך רכישת הדירה ונותרה ללא קורת גג; היא שילמה לנתבעים דמי שימוש </w:t>
      </w:r>
      <w:r w:rsidR="009E0C15">
        <w:rPr>
          <w:rFonts w:hint="cs"/>
          <w:rtl/>
        </w:rPr>
        <w:t xml:space="preserve">אף שהמנוח חי בדירתה תשע </w:t>
      </w:r>
      <w:r w:rsidR="005F5CE1">
        <w:rPr>
          <w:rFonts w:hint="cs"/>
          <w:rtl/>
        </w:rPr>
        <w:t xml:space="preserve">שנים בלי ששילם דמי שימוש מעולם; הנתבעים לא הסתפקו בעיזבון המנוח אלא נטלו גם את רכושה </w:t>
      </w:r>
      <w:r w:rsidR="005F5CE1" w:rsidRPr="005F5CE1">
        <w:rPr>
          <w:rFonts w:hint="cs"/>
          <w:i/>
          <w:iCs/>
          <w:rtl/>
        </w:rPr>
        <w:t>"שאין להם יד ורגל בו"</w:t>
      </w:r>
      <w:r w:rsidR="005F5CE1">
        <w:rPr>
          <w:rFonts w:hint="cs"/>
          <w:rtl/>
        </w:rPr>
        <w:t>; היא פנתה לבא כוחה בהליך הקודם ושאלה מדוע אינו מתנגד לקיום הצוואה אך הוא התחמק ממענה; ככל שהתביעה תמחק ייגרם לה נזק בלתי הפיך והיא ת</w:t>
      </w:r>
      <w:r w:rsidR="00E811F7">
        <w:rPr>
          <w:rFonts w:hint="cs"/>
          <w:rtl/>
        </w:rPr>
        <w:t>י</w:t>
      </w:r>
      <w:r w:rsidR="005F5CE1">
        <w:rPr>
          <w:rFonts w:hint="cs"/>
          <w:rtl/>
        </w:rPr>
        <w:t>זרק לרחוב בעוד שבועות ספורים.</w:t>
      </w:r>
    </w:p>
    <w:p w:rsidR="00A917F0" w:rsidRDefault="00A917F0" w:rsidP="00A917F0">
      <w:pPr>
        <w:spacing w:line="360" w:lineRule="auto"/>
        <w:jc w:val="both"/>
        <w:rPr>
          <w:rFonts w:ascii="Arial" w:hAnsi="Arial"/>
          <w:noProof w:val="0"/>
          <w:rtl/>
        </w:rPr>
      </w:pPr>
    </w:p>
    <w:p w:rsidR="005F5CE1" w:rsidRDefault="005F5CE1" w:rsidP="005F5CE1">
      <w:pPr>
        <w:spacing w:line="360" w:lineRule="auto"/>
        <w:jc w:val="both"/>
        <w:rPr>
          <w:rFonts w:ascii="Arial" w:hAnsi="Arial"/>
          <w:noProof w:val="0"/>
          <w:rtl/>
        </w:rPr>
      </w:pPr>
      <w:r>
        <w:rPr>
          <w:rFonts w:ascii="Arial" w:hAnsi="Arial" w:hint="cs"/>
          <w:noProof w:val="0"/>
          <w:rtl/>
        </w:rPr>
        <w:t>14.</w:t>
      </w:r>
      <w:r>
        <w:rPr>
          <w:rFonts w:ascii="Arial" w:hAnsi="Arial" w:hint="cs"/>
          <w:noProof w:val="0"/>
          <w:rtl/>
        </w:rPr>
        <w:tab/>
        <w:t xml:space="preserve">לאור הודעת התובעת שהיא עומדת על בירור התביעה, ניתנה לה, בהתאם להחלטה שניתנה בתום קדם המשפט רשות להשלמת טיעוניה בעניין סילוק התביעה על הסף. התובעת טענה שהיא עומדת על זכותה לנהל את ההליך וחזרה על כלל הנטען בהודעתה המפורטת בפסקה 13 לעיל והוסיפה שנתנה את אמונה במנוח שאותו סעדה במסירות עד פטירתו והבטחתו שציווה לה את עיזבונו והיא תהיה 'מסודרת'; המנוח הפר את הבטחתו לרשום את מלוא הזכויות בדירה על שמה; צוואתו האחרונה של המנוח נכתבה בעורמה, הנתבעים הגיעו לדירתם סגרו את דלת חדרו של המנוח והשפיעו עליו לשנות את צוואתו, אך גם לאחר שיחה זו המנוח הרגיע אותה שהוא דואג לעתידה והיא לא תישאר ללא קורת גג; הגם שהסכם הממון קובע הפרדה רכושית מוחלטת המנוח התגורר בביתה מבלי ששילם דמי שכירות ואילו הנתבעים דרשו ממנה לשלם דמי שימוש עבור תשע שנים; חובה הגיע לכדי 1,500,000 </w:t>
      </w:r>
      <w:r w:rsidR="009E0C15">
        <w:rPr>
          <w:rFonts w:ascii="Arial" w:hAnsi="Arial" w:hint="cs"/>
          <w:noProof w:val="0"/>
          <w:rtl/>
        </w:rPr>
        <w:t>ש</w:t>
      </w:r>
      <w:r w:rsidR="009E0C15">
        <w:rPr>
          <w:rFonts w:ascii="Arial" w:hAnsi="Arial"/>
          <w:noProof w:val="0"/>
          <w:rtl/>
        </w:rPr>
        <w:t>"</w:t>
      </w:r>
      <w:r w:rsidR="009E0C15">
        <w:rPr>
          <w:rFonts w:ascii="Arial" w:hAnsi="Arial" w:hint="cs"/>
          <w:noProof w:val="0"/>
          <w:rtl/>
        </w:rPr>
        <w:t>ח</w:t>
      </w:r>
      <w:r>
        <w:rPr>
          <w:rFonts w:ascii="Arial" w:hAnsi="Arial" w:hint="cs"/>
          <w:noProof w:val="0"/>
          <w:rtl/>
        </w:rPr>
        <w:t xml:space="preserve"> בשל תאוות הבצע של הנתבעים;</w:t>
      </w:r>
    </w:p>
    <w:p w:rsidR="005F5CE1" w:rsidRDefault="005F5CE1" w:rsidP="005F5CE1">
      <w:pPr>
        <w:spacing w:line="360" w:lineRule="auto"/>
        <w:jc w:val="both"/>
        <w:rPr>
          <w:rFonts w:ascii="Arial" w:hAnsi="Arial"/>
          <w:noProof w:val="0"/>
          <w:rtl/>
        </w:rPr>
      </w:pPr>
    </w:p>
    <w:p w:rsidR="005F5CE1" w:rsidRPr="00A917F0" w:rsidRDefault="005F5CE1" w:rsidP="00E811F7">
      <w:pPr>
        <w:spacing w:line="360" w:lineRule="auto"/>
        <w:jc w:val="both"/>
        <w:rPr>
          <w:rFonts w:ascii="Arial" w:hAnsi="Arial"/>
          <w:noProof w:val="0"/>
          <w:rtl/>
        </w:rPr>
      </w:pPr>
      <w:r>
        <w:rPr>
          <w:rFonts w:ascii="Arial" w:hAnsi="Arial" w:hint="cs"/>
          <w:noProof w:val="0"/>
          <w:rtl/>
        </w:rPr>
        <w:t>15.</w:t>
      </w:r>
      <w:r>
        <w:rPr>
          <w:rFonts w:ascii="Arial" w:hAnsi="Arial" w:hint="cs"/>
          <w:noProof w:val="0"/>
          <w:rtl/>
        </w:rPr>
        <w:tab/>
        <w:t xml:space="preserve">עניין לנו בתביעה שהתובעת הגדירה כתביעה כספית-נזיקית, לחיוב הנתבעים בתשלום 1,500,000 </w:t>
      </w:r>
      <w:r w:rsidR="009E0C15">
        <w:rPr>
          <w:rFonts w:ascii="Arial" w:hAnsi="Arial" w:hint="cs"/>
          <w:noProof w:val="0"/>
          <w:rtl/>
        </w:rPr>
        <w:t>ש</w:t>
      </w:r>
      <w:r w:rsidR="009E0C15">
        <w:rPr>
          <w:rFonts w:ascii="Arial" w:hAnsi="Arial"/>
          <w:noProof w:val="0"/>
          <w:rtl/>
        </w:rPr>
        <w:t>"</w:t>
      </w:r>
      <w:r w:rsidR="009E0C15">
        <w:rPr>
          <w:rFonts w:ascii="Arial" w:hAnsi="Arial" w:hint="cs"/>
          <w:noProof w:val="0"/>
          <w:rtl/>
        </w:rPr>
        <w:t>ח</w:t>
      </w:r>
      <w:r>
        <w:rPr>
          <w:rFonts w:ascii="Arial" w:hAnsi="Arial" w:hint="cs"/>
          <w:noProof w:val="0"/>
          <w:rtl/>
        </w:rPr>
        <w:t xml:space="preserve"> משום נזקים שגרמו לה בהתנהלותם, ונטען בה שהיא כוללת </w:t>
      </w:r>
      <w:r w:rsidRPr="005C7F45">
        <w:rPr>
          <w:rFonts w:ascii="Arial" w:hAnsi="Arial" w:hint="cs"/>
          <w:i/>
          <w:iCs/>
          <w:noProof w:val="0"/>
          <w:rtl/>
        </w:rPr>
        <w:t>"אך ורק את הרכיבים הנזיקיים אותם ניתן לאמוד בסכומים מדויקים"</w:t>
      </w:r>
      <w:r>
        <w:rPr>
          <w:rFonts w:ascii="Arial" w:hAnsi="Arial" w:hint="cs"/>
          <w:noProof w:val="0"/>
          <w:rtl/>
        </w:rPr>
        <w:t xml:space="preserve">. בפועל, </w:t>
      </w:r>
      <w:r w:rsidR="009E0C15">
        <w:rPr>
          <w:rFonts w:ascii="Arial" w:hAnsi="Arial" w:hint="cs"/>
          <w:noProof w:val="0"/>
          <w:rtl/>
        </w:rPr>
        <w:t>אין כל פירוט לרכיבים הנזיקיים הנטענים או כיצד חושב סכום התביעה, ו</w:t>
      </w:r>
      <w:r>
        <w:rPr>
          <w:rFonts w:ascii="Arial" w:hAnsi="Arial" w:hint="cs"/>
          <w:noProof w:val="0"/>
          <w:rtl/>
        </w:rPr>
        <w:t xml:space="preserve">הסעד הנתבע הוא </w:t>
      </w:r>
      <w:r w:rsidR="009E0C15">
        <w:rPr>
          <w:rFonts w:ascii="Arial" w:hAnsi="Arial" w:hint="cs"/>
          <w:noProof w:val="0"/>
          <w:rtl/>
        </w:rPr>
        <w:t>ביטול פסקי הדין שניתנו לפירוק שיתוף הזכויות בדירה ולתשלום דמי שימוש ראויים ו</w:t>
      </w:r>
      <w:r w:rsidR="009E0C15" w:rsidRPr="009E0C15">
        <w:rPr>
          <w:rFonts w:ascii="Arial" w:hAnsi="Arial" w:hint="cs"/>
          <w:i/>
          <w:iCs/>
          <w:noProof w:val="0"/>
          <w:rtl/>
        </w:rPr>
        <w:t>"לדיון מחודש בעניין עיזבון המנוח"</w:t>
      </w:r>
      <w:r>
        <w:rPr>
          <w:rFonts w:ascii="Arial" w:hAnsi="Arial" w:hint="cs"/>
          <w:noProof w:val="0"/>
          <w:rtl/>
        </w:rPr>
        <w:t>. הנתבעים עתרו כאמור לסילוק התביעה על הסף. הגם שסילוק תביעה על הסף הוא סעד קיצוני ששמור למצבים יוצא</w:t>
      </w:r>
      <w:r w:rsidR="00E811F7">
        <w:rPr>
          <w:rFonts w:ascii="Arial" w:hAnsi="Arial" w:hint="cs"/>
          <w:noProof w:val="0"/>
          <w:rtl/>
        </w:rPr>
        <w:t>י</w:t>
      </w:r>
      <w:r>
        <w:rPr>
          <w:rFonts w:ascii="Arial" w:hAnsi="Arial" w:hint="cs"/>
          <w:noProof w:val="0"/>
          <w:rtl/>
        </w:rPr>
        <w:t xml:space="preserve"> דופן</w:t>
      </w:r>
      <w:r w:rsidR="00E811F7">
        <w:rPr>
          <w:rFonts w:ascii="Arial" w:hAnsi="Arial" w:hint="cs"/>
          <w:noProof w:val="0"/>
          <w:rtl/>
        </w:rPr>
        <w:t xml:space="preserve">, </w:t>
      </w:r>
      <w:r>
        <w:rPr>
          <w:rFonts w:ascii="Arial" w:hAnsi="Arial" w:hint="cs"/>
          <w:noProof w:val="0"/>
          <w:rtl/>
        </w:rPr>
        <w:t>הבקשה לסילוקה על הסף נעתרת מהטעמים המפורטים להלן:</w:t>
      </w:r>
    </w:p>
    <w:p w:rsidR="005F5CE1" w:rsidRDefault="005F5CE1" w:rsidP="009E0C15">
      <w:pPr>
        <w:spacing w:line="360" w:lineRule="auto"/>
        <w:jc w:val="both"/>
        <w:rPr>
          <w:rFonts w:ascii="Arial" w:hAnsi="Arial"/>
          <w:noProof w:val="0"/>
          <w:rtl/>
        </w:rPr>
      </w:pPr>
      <w:r>
        <w:rPr>
          <w:rFonts w:ascii="Arial" w:hAnsi="Arial"/>
          <w:noProof w:val="0"/>
          <w:rtl/>
        </w:rPr>
        <w:lastRenderedPageBreak/>
        <w:br/>
      </w:r>
      <w:r>
        <w:rPr>
          <w:rFonts w:ascii="Arial" w:hAnsi="Arial" w:hint="cs"/>
          <w:noProof w:val="0"/>
          <w:rtl/>
        </w:rPr>
        <w:t>15.1</w:t>
      </w:r>
      <w:r>
        <w:rPr>
          <w:rFonts w:ascii="Arial" w:hAnsi="Arial"/>
          <w:noProof w:val="0"/>
          <w:rtl/>
        </w:rPr>
        <w:tab/>
      </w:r>
      <w:r>
        <w:rPr>
          <w:rFonts w:ascii="Arial" w:hAnsi="Arial" w:hint="cs"/>
          <w:noProof w:val="0"/>
          <w:rtl/>
        </w:rPr>
        <w:t>ביום 7.5.2013 ניתן על ידי הרשם לעניני ירושה צו לקיום צוואה שהמנוח ערך ביום 29.8.2011 ובגדרה ציווה לתובעת אך ורק את הריהוט והתכולה בדירה. התובעת טענה ש</w:t>
      </w:r>
      <w:r w:rsidR="009E0C15">
        <w:rPr>
          <w:rFonts w:ascii="Arial" w:hAnsi="Arial" w:hint="cs"/>
          <w:noProof w:val="0"/>
          <w:rtl/>
        </w:rPr>
        <w:t xml:space="preserve">המנוח ערך צוואה קודמת </w:t>
      </w:r>
      <w:r>
        <w:rPr>
          <w:rFonts w:ascii="Arial" w:hAnsi="Arial" w:hint="cs"/>
          <w:noProof w:val="0"/>
          <w:rtl/>
        </w:rPr>
        <w:t xml:space="preserve">בשנת 2010 </w:t>
      </w:r>
      <w:r w:rsidR="009E0C15">
        <w:rPr>
          <w:rFonts w:ascii="Arial" w:hAnsi="Arial" w:hint="cs"/>
          <w:noProof w:val="0"/>
          <w:rtl/>
        </w:rPr>
        <w:t>ו</w:t>
      </w:r>
      <w:r>
        <w:rPr>
          <w:rFonts w:ascii="Arial" w:hAnsi="Arial" w:hint="cs"/>
          <w:noProof w:val="0"/>
          <w:rtl/>
        </w:rPr>
        <w:t>ציווה לה את חלקו בדירה ואת משרד התיווך, אך צוואה כאמור לא הוצגה. גם אם קיומה יוכח, לא יהא בכך, כשלעצמו, כדי להקנות לתובעת זכויות כלשהן מכוחה</w:t>
      </w:r>
      <w:r w:rsidR="009E0C15">
        <w:rPr>
          <w:rFonts w:ascii="Arial" w:hAnsi="Arial" w:hint="cs"/>
          <w:noProof w:val="0"/>
          <w:rtl/>
        </w:rPr>
        <w:t xml:space="preserve"> בגדרי הליך זה</w:t>
      </w:r>
      <w:r>
        <w:rPr>
          <w:rFonts w:ascii="Arial" w:hAnsi="Arial" w:hint="cs"/>
          <w:noProof w:val="0"/>
          <w:rtl/>
        </w:rPr>
        <w:t>.</w:t>
      </w:r>
    </w:p>
    <w:p w:rsidR="005F5CE1" w:rsidRDefault="005F5CE1" w:rsidP="005F5CE1">
      <w:pPr>
        <w:spacing w:line="360" w:lineRule="auto"/>
        <w:jc w:val="both"/>
        <w:rPr>
          <w:rFonts w:ascii="Arial" w:hAnsi="Arial"/>
          <w:noProof w:val="0"/>
          <w:rtl/>
        </w:rPr>
      </w:pPr>
    </w:p>
    <w:p w:rsidR="005F5CE1" w:rsidRDefault="005F5CE1" w:rsidP="009E0C15">
      <w:pPr>
        <w:spacing w:line="360" w:lineRule="auto"/>
        <w:jc w:val="both"/>
        <w:rPr>
          <w:rFonts w:ascii="Arial" w:hAnsi="Arial"/>
          <w:noProof w:val="0"/>
          <w:rtl/>
        </w:rPr>
      </w:pPr>
      <w:r>
        <w:rPr>
          <w:rFonts w:ascii="Arial" w:hAnsi="Arial" w:hint="cs"/>
          <w:noProof w:val="0"/>
          <w:rtl/>
        </w:rPr>
        <w:t>15.3</w:t>
      </w:r>
      <w:r>
        <w:rPr>
          <w:rFonts w:ascii="Arial" w:hAnsi="Arial" w:hint="cs"/>
          <w:noProof w:val="0"/>
          <w:rtl/>
        </w:rPr>
        <w:tab/>
        <w:t xml:space="preserve">טענת התובעת שרק באזכרת השנה לפטירת המנוח, היינו בחודש מאי 2013, נודע לה על אודות הצוואה, סותרת את טענתה בכתב התביעה שכחצי שנה לאחר פטירת המנוח הנתבעים החתימו אותה על </w:t>
      </w:r>
      <w:r w:rsidR="009E0C15">
        <w:rPr>
          <w:rFonts w:ascii="Arial" w:hAnsi="Arial" w:hint="cs"/>
          <w:noProof w:val="0"/>
          <w:rtl/>
        </w:rPr>
        <w:t>'</w:t>
      </w:r>
      <w:r>
        <w:rPr>
          <w:rFonts w:ascii="Arial" w:hAnsi="Arial" w:hint="cs"/>
          <w:noProof w:val="0"/>
          <w:rtl/>
        </w:rPr>
        <w:t>מסמך סתמי</w:t>
      </w:r>
      <w:r w:rsidR="009E0C15">
        <w:rPr>
          <w:rFonts w:ascii="Arial" w:hAnsi="Arial" w:hint="cs"/>
          <w:noProof w:val="0"/>
          <w:rtl/>
        </w:rPr>
        <w:t>'</w:t>
      </w:r>
      <w:r>
        <w:rPr>
          <w:rFonts w:ascii="Arial" w:hAnsi="Arial" w:hint="cs"/>
          <w:noProof w:val="0"/>
          <w:rtl/>
        </w:rPr>
        <w:t xml:space="preserve"> שהיא מוותרת על משרד התיווך ובתמורה הבטיחו לה שיניחו לעניין הדירה, </w:t>
      </w:r>
      <w:r w:rsidR="009E0C15">
        <w:rPr>
          <w:rFonts w:ascii="Arial" w:hAnsi="Arial" w:hint="cs"/>
          <w:noProof w:val="0"/>
          <w:rtl/>
        </w:rPr>
        <w:t>כלומר</w:t>
      </w:r>
      <w:r>
        <w:rPr>
          <w:rFonts w:ascii="Arial" w:hAnsi="Arial" w:hint="cs"/>
          <w:noProof w:val="0"/>
          <w:rtl/>
        </w:rPr>
        <w:t xml:space="preserve">, כבר חצי שנה לאחר פטירת המנוח התובעת ידעה שהמנוח לא ציווה לה את זכויותיו בדירה או את משרד התיווך. כך או כך, עד היום, ובחלוף למעלה </w:t>
      </w:r>
      <w:r w:rsidR="009E0C15">
        <w:rPr>
          <w:rFonts w:ascii="Arial" w:hAnsi="Arial" w:hint="cs"/>
          <w:noProof w:val="0"/>
          <w:rtl/>
        </w:rPr>
        <w:t xml:space="preserve">מעשור </w:t>
      </w:r>
      <w:r>
        <w:rPr>
          <w:rFonts w:ascii="Arial" w:hAnsi="Arial" w:hint="cs"/>
          <w:noProof w:val="0"/>
          <w:rtl/>
        </w:rPr>
        <w:t>מאז נודע לתובעת על אודות הצוואה, היא לא עתרה לביטול הצו שניתן לקיומה. גם אם יוכח שהתובעת ביקשה מבא כוחה דאז להתנגד לקיום הצוואה אך הוא התעלם מבקשתה, אין בכך לאפשר דיון בגדרי התביעה הנוכחית בהתנגדותה לקיום הצוואה, וממילא טענה זו אינה מקימה זכות תביעה כלפי הנתבעים. כפי שהובהר לתובעת בקדם המשפט רק אם תוגש ותתקבל תביעה לביטול הצו לקיום הצוואה, תיסלל הדרך להגשת בקשה לקיום הצוואה המוקדמת (הנטענת) כמו גם התנגדות לקיום הצוואה.</w:t>
      </w:r>
    </w:p>
    <w:p w:rsidR="005F5CE1" w:rsidRDefault="005F5CE1" w:rsidP="005F5CE1">
      <w:pPr>
        <w:spacing w:line="360" w:lineRule="auto"/>
        <w:jc w:val="both"/>
        <w:rPr>
          <w:rFonts w:ascii="Arial" w:hAnsi="Arial"/>
          <w:noProof w:val="0"/>
          <w:rtl/>
        </w:rPr>
      </w:pPr>
    </w:p>
    <w:p w:rsidR="005F5CE1" w:rsidRDefault="005F5CE1" w:rsidP="009E0C15">
      <w:pPr>
        <w:spacing w:line="360" w:lineRule="auto"/>
        <w:jc w:val="both"/>
        <w:rPr>
          <w:rFonts w:ascii="Arial" w:hAnsi="Arial"/>
          <w:noProof w:val="0"/>
          <w:rtl/>
        </w:rPr>
      </w:pPr>
      <w:r>
        <w:rPr>
          <w:rFonts w:ascii="Arial" w:hAnsi="Arial" w:hint="cs"/>
          <w:noProof w:val="0"/>
          <w:rtl/>
        </w:rPr>
        <w:t>15.4</w:t>
      </w:r>
      <w:r>
        <w:rPr>
          <w:rFonts w:ascii="Arial" w:hAnsi="Arial" w:hint="cs"/>
          <w:noProof w:val="0"/>
          <w:rtl/>
        </w:rPr>
        <w:tab/>
        <w:t xml:space="preserve">בחלוף שנה וארבעה חודשים ממתן הצו לקיום הצוואה, הנתבע שנחל את זכויות המנוח בדירה, הגיש </w:t>
      </w:r>
      <w:r w:rsidR="009E0C15">
        <w:rPr>
          <w:rFonts w:ascii="Arial" w:hAnsi="Arial" w:hint="cs"/>
          <w:noProof w:val="0"/>
          <w:rtl/>
        </w:rPr>
        <w:t>תביעה</w:t>
      </w:r>
      <w:r>
        <w:rPr>
          <w:rFonts w:ascii="Arial" w:hAnsi="Arial" w:hint="cs"/>
          <w:noProof w:val="0"/>
          <w:rtl/>
        </w:rPr>
        <w:t xml:space="preserve"> לפירוק שיתוף הזכויות בדירה ו</w:t>
      </w:r>
      <w:r w:rsidR="009E0C15">
        <w:rPr>
          <w:rFonts w:ascii="Arial" w:hAnsi="Arial" w:hint="cs"/>
          <w:noProof w:val="0"/>
          <w:rtl/>
        </w:rPr>
        <w:t xml:space="preserve">תביעה </w:t>
      </w:r>
      <w:r>
        <w:rPr>
          <w:rFonts w:ascii="Arial" w:hAnsi="Arial" w:hint="cs"/>
          <w:noProof w:val="0"/>
          <w:rtl/>
        </w:rPr>
        <w:t>לתשלום דמי שימוש ראויים. בהודעתה מיום 30.7.2024 התובעת אישרה שחרף הנטען בכתב התביעה לא התנהל כל הליך שהוא בבית המשפט המחוזי. טענת התובעת לחוסר סמכות עניינית של בית משפט השלום לדון בתביעות נד</w:t>
      </w:r>
      <w:r w:rsidR="009E0C15">
        <w:rPr>
          <w:rFonts w:ascii="Arial" w:hAnsi="Arial" w:hint="cs"/>
          <w:noProof w:val="0"/>
          <w:rtl/>
        </w:rPr>
        <w:t>ונה ונדחתה</w:t>
      </w:r>
      <w:r>
        <w:rPr>
          <w:rFonts w:ascii="Arial" w:hAnsi="Arial" w:hint="cs"/>
          <w:noProof w:val="0"/>
          <w:rtl/>
        </w:rPr>
        <w:t xml:space="preserve">. </w:t>
      </w:r>
      <w:r w:rsidR="009E0C15">
        <w:rPr>
          <w:rFonts w:ascii="Arial" w:hAnsi="Arial" w:hint="cs"/>
          <w:noProof w:val="0"/>
          <w:rtl/>
        </w:rPr>
        <w:t>התובעת</w:t>
      </w:r>
      <w:r>
        <w:rPr>
          <w:rFonts w:ascii="Arial" w:hAnsi="Arial" w:hint="cs"/>
          <w:noProof w:val="0"/>
          <w:rtl/>
        </w:rPr>
        <w:t xml:space="preserve"> לא ערערה על פסקי הדין והם חלוטים, ולערכאה זו אין סמכות להצהיר על אודות בטלותם.</w:t>
      </w:r>
    </w:p>
    <w:p w:rsidR="005F5CE1" w:rsidRDefault="005F5CE1" w:rsidP="005F5CE1">
      <w:pPr>
        <w:spacing w:line="360" w:lineRule="auto"/>
        <w:jc w:val="both"/>
        <w:rPr>
          <w:rFonts w:ascii="Arial" w:hAnsi="Arial"/>
          <w:noProof w:val="0"/>
          <w:rtl/>
        </w:rPr>
      </w:pPr>
    </w:p>
    <w:p w:rsidR="009E0C15" w:rsidRDefault="009E0C15" w:rsidP="009E0C15">
      <w:pPr>
        <w:spacing w:line="360" w:lineRule="auto"/>
        <w:jc w:val="both"/>
        <w:rPr>
          <w:rFonts w:ascii="Arial" w:hAnsi="Arial"/>
          <w:noProof w:val="0"/>
          <w:rtl/>
        </w:rPr>
      </w:pPr>
      <w:r>
        <w:rPr>
          <w:rFonts w:ascii="Arial" w:hAnsi="Arial" w:hint="cs"/>
          <w:noProof w:val="0"/>
          <w:rtl/>
        </w:rPr>
        <w:t>15.5</w:t>
      </w:r>
      <w:r>
        <w:rPr>
          <w:rFonts w:ascii="Arial" w:hAnsi="Arial"/>
          <w:noProof w:val="0"/>
          <w:rtl/>
        </w:rPr>
        <w:tab/>
      </w:r>
      <w:r>
        <w:rPr>
          <w:rFonts w:ascii="Arial" w:hAnsi="Arial" w:hint="cs"/>
          <w:noProof w:val="0"/>
          <w:rtl/>
        </w:rPr>
        <w:t>ניתן לתובעת יומה בהליכים שהתנהלו בעניין פירוק שיתוף הזכויות ותשלום דמי שימוש ראויים. טענת התובעת שאין בפי הנתבעים טעם ענייני מדוע התביעה לפירוק שיתוף לא תידון מחדש בערכאה זו, אין לה על מה שתסמוך. טענתה ש</w:t>
      </w:r>
      <w:r w:rsidRPr="005F5CE1">
        <w:rPr>
          <w:rFonts w:hint="cs"/>
          <w:i/>
          <w:iCs/>
          <w:rtl/>
        </w:rPr>
        <w:t>"גם לרוצחים שפסק דינם נחרץ נתנו לאחר שנים רבות הזדמנויות להשמיע את קולם אשר לעיתים הפך את הקערה על פיה"</w:t>
      </w:r>
      <w:r>
        <w:rPr>
          <w:rFonts w:hint="cs"/>
          <w:rtl/>
        </w:rPr>
        <w:t>,</w:t>
      </w:r>
      <w:r>
        <w:rPr>
          <w:rFonts w:ascii="Arial" w:hAnsi="Arial" w:hint="cs"/>
          <w:noProof w:val="0"/>
          <w:rtl/>
        </w:rPr>
        <w:t xml:space="preserve"> אינה רלוונטית לנדון, מה גם שהיא לא טענה שהתגלו נסיבות חדשות שמצדיקות "משפט חוזר", ובהחלט לא ניתן לטעון שפסקי הדין מיום 7.3.2017 ו-7.2.2018 הושגו במרמה או בחוסר צדק.</w:t>
      </w:r>
    </w:p>
    <w:p w:rsidR="009E0C15" w:rsidRDefault="009E0C15" w:rsidP="005F5CE1">
      <w:pPr>
        <w:spacing w:line="360" w:lineRule="auto"/>
        <w:jc w:val="both"/>
        <w:rPr>
          <w:rFonts w:ascii="Arial" w:hAnsi="Arial"/>
          <w:noProof w:val="0"/>
          <w:rtl/>
        </w:rPr>
      </w:pPr>
    </w:p>
    <w:p w:rsidR="005F5CE1" w:rsidRDefault="005F5CE1" w:rsidP="00E811F7">
      <w:pPr>
        <w:spacing w:line="360" w:lineRule="auto"/>
        <w:jc w:val="both"/>
        <w:rPr>
          <w:rFonts w:ascii="Arial" w:hAnsi="Arial"/>
          <w:noProof w:val="0"/>
          <w:rtl/>
        </w:rPr>
      </w:pPr>
      <w:r>
        <w:rPr>
          <w:rFonts w:ascii="Arial" w:hAnsi="Arial" w:hint="cs"/>
          <w:noProof w:val="0"/>
          <w:rtl/>
        </w:rPr>
        <w:t>15.6</w:t>
      </w:r>
      <w:r>
        <w:rPr>
          <w:rFonts w:ascii="Arial" w:hAnsi="Arial" w:hint="cs"/>
          <w:noProof w:val="0"/>
          <w:rtl/>
        </w:rPr>
        <w:tab/>
        <w:t xml:space="preserve">מעשה בית דין </w:t>
      </w:r>
      <w:r>
        <w:rPr>
          <w:rFonts w:ascii="Arial" w:hAnsi="Arial"/>
          <w:noProof w:val="0"/>
          <w:rtl/>
        </w:rPr>
        <w:t>–</w:t>
      </w:r>
      <w:r>
        <w:rPr>
          <w:rFonts w:ascii="Arial" w:hAnsi="Arial" w:hint="cs"/>
          <w:noProof w:val="0"/>
          <w:rtl/>
        </w:rPr>
        <w:t xml:space="preserve"> </w:t>
      </w:r>
      <w:r w:rsidR="00E811F7">
        <w:rPr>
          <w:rFonts w:ascii="Arial" w:hAnsi="Arial" w:hint="cs"/>
          <w:noProof w:val="0"/>
          <w:rtl/>
        </w:rPr>
        <w:t xml:space="preserve">עיקר </w:t>
      </w:r>
      <w:r>
        <w:rPr>
          <w:rFonts w:ascii="Arial" w:hAnsi="Arial" w:hint="cs"/>
          <w:noProof w:val="0"/>
          <w:rtl/>
        </w:rPr>
        <w:t xml:space="preserve">טענות התובעת בהליך זה </w:t>
      </w:r>
      <w:r w:rsidR="00E811F7">
        <w:rPr>
          <w:rFonts w:ascii="Arial" w:hAnsi="Arial" w:hint="cs"/>
          <w:noProof w:val="0"/>
          <w:rtl/>
        </w:rPr>
        <w:t>נטענו כבר</w:t>
      </w:r>
      <w:r>
        <w:rPr>
          <w:rFonts w:ascii="Arial" w:hAnsi="Arial" w:hint="cs"/>
          <w:noProof w:val="0"/>
          <w:rtl/>
        </w:rPr>
        <w:t xml:space="preserve"> בתביעה לפירוק שיתוף ולתשלום דמי שימוש, </w:t>
      </w:r>
      <w:r w:rsidR="00E811F7">
        <w:rPr>
          <w:rFonts w:ascii="Arial" w:hAnsi="Arial" w:hint="cs"/>
          <w:noProof w:val="0"/>
          <w:rtl/>
        </w:rPr>
        <w:t xml:space="preserve">הן </w:t>
      </w:r>
      <w:r>
        <w:rPr>
          <w:rFonts w:ascii="Arial" w:hAnsi="Arial" w:hint="cs"/>
          <w:noProof w:val="0"/>
          <w:rtl/>
        </w:rPr>
        <w:t xml:space="preserve">נדונו ונדחו בפסק הדין מיום 7.3.2017 בעניין פירוק שיתוף, ונדחו בפסק הדין מיום </w:t>
      </w:r>
      <w:r>
        <w:rPr>
          <w:rFonts w:ascii="Arial" w:hAnsi="Arial" w:hint="cs"/>
          <w:noProof w:val="0"/>
          <w:rtl/>
        </w:rPr>
        <w:lastRenderedPageBreak/>
        <w:t>7.2.2018 בעניין דמי שימוש, משום מעשה בית דין</w:t>
      </w:r>
      <w:r w:rsidR="009E0C15">
        <w:rPr>
          <w:rFonts w:ascii="Arial" w:hAnsi="Arial" w:hint="cs"/>
          <w:noProof w:val="0"/>
          <w:rtl/>
        </w:rPr>
        <w:t>. טענות אלה שנדונו בהליכים קודמים נדחות בהתאם לתקנה 43 לתקנות סדר הדין האזרחי, תשע"ט-2018.</w:t>
      </w:r>
      <w:r w:rsidR="00E811F7">
        <w:rPr>
          <w:rFonts w:ascii="Arial" w:hAnsi="Arial" w:hint="cs"/>
          <w:noProof w:val="0"/>
          <w:rtl/>
        </w:rPr>
        <w:t xml:space="preserve"> </w:t>
      </w:r>
      <w:r>
        <w:rPr>
          <w:rFonts w:ascii="Arial" w:hAnsi="Arial" w:hint="cs"/>
          <w:noProof w:val="0"/>
          <w:rtl/>
        </w:rPr>
        <w:t>וכך נפסק בפסק הדין מיום 7.3.2017</w:t>
      </w:r>
      <w:r w:rsidR="009E0C15">
        <w:rPr>
          <w:rFonts w:ascii="Arial" w:hAnsi="Arial" w:hint="cs"/>
          <w:noProof w:val="0"/>
          <w:rtl/>
        </w:rPr>
        <w:t xml:space="preserve"> (ההדגשות לא במקור)</w:t>
      </w:r>
      <w:r>
        <w:rPr>
          <w:rFonts w:ascii="Arial" w:hAnsi="Arial" w:hint="cs"/>
          <w:noProof w:val="0"/>
          <w:rtl/>
        </w:rPr>
        <w:t>:</w:t>
      </w:r>
    </w:p>
    <w:p w:rsidR="005F5CE1" w:rsidRDefault="005F5CE1" w:rsidP="00E811F7">
      <w:pPr>
        <w:spacing w:before="120" w:line="360" w:lineRule="auto"/>
        <w:ind w:left="113" w:right="113"/>
        <w:jc w:val="both"/>
        <w:rPr>
          <w:i/>
          <w:iCs/>
          <w:noProof w:val="0"/>
          <w:rtl/>
        </w:rPr>
      </w:pPr>
      <w:r>
        <w:rPr>
          <w:rFonts w:hint="cs"/>
          <w:i/>
          <w:iCs/>
          <w:noProof w:val="0"/>
          <w:rtl/>
        </w:rPr>
        <w:t>"</w:t>
      </w:r>
      <w:r w:rsidRPr="005F5CE1">
        <w:rPr>
          <w:i/>
          <w:iCs/>
          <w:noProof w:val="0"/>
          <w:rtl/>
        </w:rPr>
        <w:t xml:space="preserve">רוב טענותיה אינן מתייחסות להתנהלותו של התובע אלא להתנהלותו של המנוח ולצוואתו. </w:t>
      </w:r>
      <w:r w:rsidRPr="009E0C15">
        <w:rPr>
          <w:i/>
          <w:iCs/>
          <w:noProof w:val="0"/>
          <w:u w:val="single"/>
          <w:rtl/>
        </w:rPr>
        <w:t>הנתבעת טוענת כי המנוח הבטיח להוריש לה את זכויותיו בדירה, ולאחר שמצבו הבריאותי התערער, הבטיח להעביר לה את חלקו בדירה בעודו בחייו. כמו-כן טוענת הנתבעת כי הסכימה לרכוש את הדירה על יסוד הבטחתו זו של המנוח ואף שינתה את מצבה הכלכלי לרעה לצורך רכישת הדירה, אך לאחר מכן הופתעה לגלות שהמנוח הפר את הבטחתו, ובצוואתו האחרונה הורה להוריש את חלקו בדירה לנכד שלו</w:t>
      </w:r>
      <w:r w:rsidRPr="005F5CE1">
        <w:rPr>
          <w:i/>
          <w:iCs/>
          <w:noProof w:val="0"/>
          <w:rtl/>
        </w:rPr>
        <w:t>.</w:t>
      </w:r>
      <w:r>
        <w:rPr>
          <w:rFonts w:hint="cs"/>
          <w:i/>
          <w:iCs/>
          <w:noProof w:val="0"/>
          <w:rtl/>
        </w:rPr>
        <w:t>..</w:t>
      </w:r>
      <w:r w:rsidR="00E811F7">
        <w:rPr>
          <w:rFonts w:hint="cs"/>
          <w:i/>
          <w:iCs/>
          <w:noProof w:val="0"/>
          <w:rtl/>
        </w:rPr>
        <w:t xml:space="preserve"> </w:t>
      </w:r>
      <w:r w:rsidRPr="005F5CE1">
        <w:rPr>
          <w:i/>
          <w:iCs/>
          <w:noProof w:val="0"/>
          <w:rtl/>
        </w:rPr>
        <w:t xml:space="preserve"> דא עקא שהנתבעת לא הגישה התנגדות לקיום הצוואה ואף לא הגישה תביעה נגד כל היורשים בטענה להפרת הבטחתו של המנוח.</w:t>
      </w:r>
      <w:r>
        <w:rPr>
          <w:rFonts w:hint="cs"/>
          <w:i/>
          <w:iCs/>
          <w:noProof w:val="0"/>
          <w:rtl/>
        </w:rPr>
        <w:t>..</w:t>
      </w:r>
      <w:r w:rsidRPr="005F5CE1">
        <w:rPr>
          <w:i/>
          <w:iCs/>
          <w:noProof w:val="0"/>
          <w:rtl/>
        </w:rPr>
        <w:t xml:space="preserve"> משהחליטה הנתבעת לא להתנגד לקיום הצוואה ולא לתבוע את היורשים, אין היא רשאית להעלות טענות בעניין זה לראשונה בתביעה דנן שהוגשה למעלה משנה לאחר הוצאת צו קיום צוואה ולמ</w:t>
      </w:r>
      <w:r>
        <w:rPr>
          <w:i/>
          <w:iCs/>
          <w:noProof w:val="0"/>
          <w:rtl/>
        </w:rPr>
        <w:t>עלה משנתיים לאחר מותו של המנוח.</w:t>
      </w:r>
      <w:r>
        <w:rPr>
          <w:rFonts w:hint="cs"/>
          <w:i/>
          <w:iCs/>
          <w:noProof w:val="0"/>
          <w:rtl/>
        </w:rPr>
        <w:t>..</w:t>
      </w:r>
    </w:p>
    <w:p w:rsidR="005F5CE1" w:rsidRDefault="005F5CE1" w:rsidP="005F5CE1">
      <w:pPr>
        <w:spacing w:before="120" w:line="360" w:lineRule="auto"/>
        <w:ind w:left="113" w:right="113"/>
        <w:jc w:val="both"/>
        <w:rPr>
          <w:i/>
          <w:iCs/>
          <w:noProof w:val="0"/>
        </w:rPr>
      </w:pPr>
      <w:r w:rsidRPr="009E0C15">
        <w:rPr>
          <w:i/>
          <w:iCs/>
          <w:noProof w:val="0"/>
          <w:u w:val="single"/>
          <w:rtl/>
        </w:rPr>
        <w:t>הנתבעת טוענת כי ניזוקה כלכלית כתוצאה מהסתמכותה על הבטחותיו של המנוח,</w:t>
      </w:r>
      <w:r w:rsidRPr="009E0C15">
        <w:rPr>
          <w:i/>
          <w:iCs/>
          <w:noProof w:val="0"/>
          <w:rtl/>
        </w:rPr>
        <w:t xml:space="preserve"> בין היתר  משהסכימה לשאת בהוצאות משמעותיות בגין הדירה, הרבה מעבר למה שנקבע בהסכם הממון בינה לבין המנוח</w:t>
      </w:r>
      <w:r w:rsidRPr="009E0C15">
        <w:rPr>
          <w:rFonts w:hint="cs"/>
          <w:i/>
          <w:iCs/>
          <w:noProof w:val="0"/>
          <w:rtl/>
        </w:rPr>
        <w:t xml:space="preserve">. </w:t>
      </w:r>
      <w:r w:rsidRPr="009E0C15">
        <w:rPr>
          <w:i/>
          <w:iCs/>
          <w:noProof w:val="0"/>
          <w:rtl/>
        </w:rPr>
        <w:t>בהקשר זה נטען כי הנתבעת שילמה בגין הוצאות הדירה  46,000</w:t>
      </w:r>
      <w:r w:rsidRPr="005F5CE1">
        <w:rPr>
          <w:i/>
          <w:iCs/>
          <w:noProof w:val="0"/>
          <w:rtl/>
        </w:rPr>
        <w:t xml:space="preserve"> </w:t>
      </w:r>
      <w:r w:rsidR="009E0C15">
        <w:rPr>
          <w:i/>
          <w:iCs/>
          <w:noProof w:val="0"/>
          <w:rtl/>
        </w:rPr>
        <w:t>ש"ח</w:t>
      </w:r>
      <w:r w:rsidRPr="005F5CE1">
        <w:rPr>
          <w:i/>
          <w:iCs/>
          <w:noProof w:val="0"/>
          <w:rtl/>
        </w:rPr>
        <w:t xml:space="preserve"> יותר מהמנוח </w:t>
      </w:r>
      <w:r w:rsidRPr="009E0C15">
        <w:rPr>
          <w:i/>
          <w:iCs/>
          <w:noProof w:val="0"/>
          <w:u w:val="single"/>
          <w:rtl/>
        </w:rPr>
        <w:t xml:space="preserve">ואף לא גבתה מהמנוח דמי שכירות, אף שהיה ראוי שישלם לה 25% משכר הדירה, דהיינו 28,750 </w:t>
      </w:r>
      <w:r w:rsidR="009E0C15" w:rsidRPr="009E0C15">
        <w:rPr>
          <w:i/>
          <w:iCs/>
          <w:noProof w:val="0"/>
          <w:u w:val="single"/>
          <w:rtl/>
        </w:rPr>
        <w:t>ש"ח</w:t>
      </w:r>
      <w:r w:rsidRPr="009E0C15">
        <w:rPr>
          <w:i/>
          <w:iCs/>
          <w:noProof w:val="0"/>
          <w:u w:val="single"/>
          <w:rtl/>
        </w:rPr>
        <w:t xml:space="preserve"> בגין התקופה שבה גר בדירה לאחר רכישתה</w:t>
      </w:r>
      <w:r>
        <w:rPr>
          <w:i/>
          <w:iCs/>
          <w:noProof w:val="0"/>
          <w:rtl/>
        </w:rPr>
        <w:t>.</w:t>
      </w:r>
      <w:r>
        <w:rPr>
          <w:rFonts w:hint="cs"/>
          <w:i/>
          <w:iCs/>
          <w:noProof w:val="0"/>
          <w:rtl/>
        </w:rPr>
        <w:t>...</w:t>
      </w:r>
      <w:r w:rsidRPr="005F5CE1">
        <w:rPr>
          <w:i/>
          <w:iCs/>
          <w:noProof w:val="0"/>
          <w:rtl/>
        </w:rPr>
        <w:t xml:space="preserve"> ולא הציגה פירוט של כלל הסכומים ששילמה בגין הוצאות הדירה לפני רכישתה ולאחר מכן. כמו-כן אין בתצהירה של הנתבעת אסמכתאות כלשהן לגבי סכומים שהנתבע שילם במהלך כל התקופה שבה התגוררו יחד. כך גם אין לשלול כי הנתבעת הסכימה לשאת באותה עת בהוצאות נוספות כמחווה אנושית, ללא כל קשר לעניין הזכויות בדירה, כדי לסייע למנוח בשל ההידרדרות במצבו הבריאותי וההוצאות הרפואיות הרבות שהיו לו ככל הנראה באותה עת. </w:t>
      </w:r>
    </w:p>
    <w:p w:rsidR="005F5CE1" w:rsidRDefault="005F5CE1" w:rsidP="00E811F7">
      <w:pPr>
        <w:spacing w:before="120" w:line="360" w:lineRule="auto"/>
        <w:ind w:left="113" w:right="113"/>
        <w:jc w:val="both"/>
        <w:rPr>
          <w:i/>
          <w:iCs/>
          <w:noProof w:val="0"/>
          <w:rtl/>
        </w:rPr>
      </w:pPr>
      <w:r w:rsidRPr="009E0C15">
        <w:rPr>
          <w:i/>
          <w:iCs/>
          <w:noProof w:val="0"/>
          <w:u w:val="single"/>
          <w:rtl/>
        </w:rPr>
        <w:t>הנתבעת טוענת כי ניזוקה כלכלית גם משום שלצורך רכישת הדירה נאלצה למכור את דירתה</w:t>
      </w:r>
      <w:r w:rsidRPr="00E811F7">
        <w:rPr>
          <w:i/>
          <w:iCs/>
          <w:noProof w:val="0"/>
          <w:u w:val="single"/>
          <w:rtl/>
        </w:rPr>
        <w:t xml:space="preserve"> </w:t>
      </w:r>
      <w:r w:rsidR="00E811F7" w:rsidRPr="00E811F7">
        <w:rPr>
          <w:rFonts w:hint="cs"/>
          <w:i/>
          <w:iCs/>
          <w:noProof w:val="0"/>
          <w:u w:val="single"/>
          <w:rtl/>
        </w:rPr>
        <w:t>ב</w:t>
      </w:r>
      <w:r w:rsidR="00E811F7" w:rsidRPr="00E811F7">
        <w:rPr>
          <w:rFonts w:ascii="David" w:hAnsi="David"/>
          <w:noProof w:val="0"/>
          <w:sz w:val="20"/>
          <w:szCs w:val="20"/>
          <w:u w:val="single"/>
        </w:rPr>
        <w:t xml:space="preserve"> XXX</w:t>
      </w:r>
      <w:r w:rsidRPr="005F5CE1">
        <w:rPr>
          <w:i/>
          <w:iCs/>
          <w:noProof w:val="0"/>
          <w:rtl/>
        </w:rPr>
        <w:t>, אך לא הוצגה חוות דעת מומחה כדי לבסס שמכירת הדירה ב</w:t>
      </w:r>
      <w:r w:rsidR="00E811F7" w:rsidRPr="00E811F7">
        <w:rPr>
          <w:rFonts w:ascii="David" w:hAnsi="David"/>
          <w:noProof w:val="0"/>
          <w:sz w:val="20"/>
          <w:szCs w:val="20"/>
        </w:rPr>
        <w:t xml:space="preserve"> XXX</w:t>
      </w:r>
      <w:r w:rsidR="00E811F7">
        <w:rPr>
          <w:rFonts w:ascii="Arial" w:hAnsi="Arial" w:hint="cs"/>
          <w:noProof w:val="0"/>
          <w:rtl/>
        </w:rPr>
        <w:t xml:space="preserve"> </w:t>
      </w:r>
      <w:r w:rsidRPr="005F5CE1">
        <w:rPr>
          <w:i/>
          <w:iCs/>
          <w:noProof w:val="0"/>
          <w:rtl/>
        </w:rPr>
        <w:t>ורכישת הזכויות בדירה ב</w:t>
      </w:r>
      <w:r w:rsidR="00E811F7" w:rsidRPr="00E811F7">
        <w:rPr>
          <w:rFonts w:ascii="David" w:hAnsi="David"/>
          <w:noProof w:val="0"/>
          <w:sz w:val="20"/>
          <w:szCs w:val="20"/>
        </w:rPr>
        <w:t xml:space="preserve"> XXX</w:t>
      </w:r>
      <w:r w:rsidR="00E811F7">
        <w:rPr>
          <w:rFonts w:ascii="Arial" w:hAnsi="Arial" w:hint="cs"/>
          <w:noProof w:val="0"/>
          <w:rtl/>
        </w:rPr>
        <w:t xml:space="preserve"> </w:t>
      </w:r>
      <w:r>
        <w:rPr>
          <w:i/>
          <w:iCs/>
          <w:noProof w:val="0"/>
          <w:rtl/>
        </w:rPr>
        <w:t>לא הייתה כדאית מבחינה כלכלית.</w:t>
      </w:r>
      <w:r>
        <w:rPr>
          <w:rFonts w:hint="cs"/>
          <w:i/>
          <w:iCs/>
          <w:noProof w:val="0"/>
          <w:rtl/>
        </w:rPr>
        <w:t>..</w:t>
      </w:r>
    </w:p>
    <w:p w:rsidR="005F5CE1" w:rsidRPr="005F5CE1" w:rsidRDefault="005F5CE1" w:rsidP="005F5CE1">
      <w:pPr>
        <w:spacing w:before="120" w:line="360" w:lineRule="auto"/>
        <w:ind w:left="113" w:right="113"/>
        <w:jc w:val="both"/>
        <w:rPr>
          <w:i/>
          <w:iCs/>
          <w:noProof w:val="0"/>
        </w:rPr>
      </w:pPr>
      <w:r w:rsidRPr="009E0C15">
        <w:rPr>
          <w:i/>
          <w:iCs/>
          <w:noProof w:val="0"/>
          <w:u w:val="single"/>
          <w:rtl/>
        </w:rPr>
        <w:t>לאור כל האמור לעיל, אני קובע כי הנתבעת לא הרימה את הנטל הנדרש כדי לבסס כי המנוח הבטיח להעביר לה את חלקו בדירה, כי נגרמו לה נזקים כלכליים כתוצאה מהסתמכותה על הבטחה זו וכי כוונת המנוח בצוואתו היית שהזכויות בדירה לא ימומשו מידית ושהנתבעת תמשיך לגור בדירה עד סוף ימי חייה</w:t>
      </w:r>
      <w:r w:rsidRPr="005F5CE1">
        <w:rPr>
          <w:i/>
          <w:iCs/>
          <w:noProof w:val="0"/>
          <w:rtl/>
        </w:rPr>
        <w:t>. מעבר לכך, משלא הגישה הנתבעת התנגדות לקיום הצוואה או תביעה נגד כל היורשים, היא איננה רשאית להישמע בטענות אלה כעת</w:t>
      </w:r>
      <w:r>
        <w:rPr>
          <w:rFonts w:hint="cs"/>
          <w:i/>
          <w:iCs/>
          <w:noProof w:val="0"/>
          <w:rtl/>
        </w:rPr>
        <w:t>"</w:t>
      </w:r>
      <w:r w:rsidRPr="005F5CE1">
        <w:rPr>
          <w:i/>
          <w:iCs/>
          <w:noProof w:val="0"/>
          <w:rtl/>
        </w:rPr>
        <w:t xml:space="preserve">. </w:t>
      </w:r>
    </w:p>
    <w:p w:rsidR="005F5CE1" w:rsidRDefault="005F5CE1" w:rsidP="005F5CE1">
      <w:pPr>
        <w:spacing w:line="360" w:lineRule="auto"/>
        <w:jc w:val="both"/>
        <w:rPr>
          <w:rFonts w:ascii="Arial" w:hAnsi="Arial"/>
          <w:noProof w:val="0"/>
          <w:rtl/>
        </w:rPr>
      </w:pPr>
    </w:p>
    <w:p w:rsidR="005F5CE1" w:rsidRDefault="005F5CE1" w:rsidP="005F5CE1">
      <w:pPr>
        <w:spacing w:line="360" w:lineRule="auto"/>
        <w:jc w:val="both"/>
        <w:rPr>
          <w:rFonts w:asciiTheme="minorHAnsi" w:hAnsiTheme="minorHAnsi"/>
          <w:noProof w:val="0"/>
          <w:rtl/>
        </w:rPr>
      </w:pPr>
      <w:r>
        <w:rPr>
          <w:rFonts w:ascii="Arial" w:hAnsi="Arial" w:hint="cs"/>
          <w:noProof w:val="0"/>
          <w:rtl/>
        </w:rPr>
        <w:t>וכך נפסק בפסק הדין מיום 7.2.2018</w:t>
      </w:r>
      <w:r w:rsidR="009E0C15">
        <w:rPr>
          <w:rFonts w:ascii="Arial" w:hAnsi="Arial" w:hint="cs"/>
          <w:noProof w:val="0"/>
          <w:rtl/>
        </w:rPr>
        <w:t xml:space="preserve"> (ההדגשות אינן במקור)</w:t>
      </w:r>
      <w:r>
        <w:rPr>
          <w:rFonts w:ascii="Arial" w:hAnsi="Arial" w:hint="cs"/>
          <w:noProof w:val="0"/>
          <w:rtl/>
        </w:rPr>
        <w:t>:</w:t>
      </w:r>
    </w:p>
    <w:p w:rsidR="005F5CE1" w:rsidRPr="005F5CE1" w:rsidRDefault="005F5CE1" w:rsidP="005F5CE1">
      <w:pPr>
        <w:spacing w:before="120" w:line="360" w:lineRule="auto"/>
        <w:ind w:left="113" w:right="113"/>
        <w:jc w:val="both"/>
        <w:rPr>
          <w:rFonts w:ascii="Arial" w:hAnsi="Arial"/>
          <w:i/>
          <w:iCs/>
          <w:noProof w:val="0"/>
        </w:rPr>
      </w:pPr>
      <w:r w:rsidRPr="005F5CE1">
        <w:rPr>
          <w:rFonts w:asciiTheme="minorHAnsi" w:hAnsiTheme="minorHAnsi" w:hint="cs"/>
          <w:i/>
          <w:iCs/>
          <w:noProof w:val="0"/>
          <w:rtl/>
        </w:rPr>
        <w:t>"</w:t>
      </w:r>
      <w:r w:rsidRPr="009E0C15">
        <w:rPr>
          <w:rFonts w:asciiTheme="minorHAnsi" w:hAnsiTheme="minorHAnsi"/>
          <w:i/>
          <w:iCs/>
          <w:noProof w:val="0"/>
          <w:u w:val="single"/>
          <w:rtl/>
        </w:rPr>
        <w:t>טענותיה של הנתבעת הן ברובן המכריע הלכה למעשה מיחזור של הטענות שהועלו על ידי הנתבעת בתביעת פירוק השיתוף ואשר נידונו ונדחו על ידי כב' השופט תמיר, כך שעניין לנו במעשה בית דין במובנו המקובל</w:t>
      </w:r>
      <w:r w:rsidRPr="005F5CE1">
        <w:rPr>
          <w:rFonts w:asciiTheme="minorHAnsi" w:hAnsiTheme="minorHAnsi"/>
          <w:i/>
          <w:iCs/>
          <w:noProof w:val="0"/>
          <w:rtl/>
        </w:rPr>
        <w:t xml:space="preserve">. </w:t>
      </w:r>
    </w:p>
    <w:p w:rsidR="005F5CE1" w:rsidRPr="005F5CE1" w:rsidRDefault="005F5CE1" w:rsidP="005F5CE1">
      <w:pPr>
        <w:spacing w:before="120" w:line="360" w:lineRule="auto"/>
        <w:ind w:left="113" w:right="113"/>
        <w:jc w:val="both"/>
        <w:rPr>
          <w:rFonts w:ascii="Arial" w:hAnsi="Arial"/>
          <w:i/>
          <w:iCs/>
          <w:noProof w:val="0"/>
          <w:rtl/>
        </w:rPr>
      </w:pPr>
      <w:r w:rsidRPr="009E0C15">
        <w:rPr>
          <w:rFonts w:asciiTheme="minorHAnsi" w:hAnsiTheme="minorHAnsi"/>
          <w:i/>
          <w:iCs/>
          <w:noProof w:val="0"/>
          <w:u w:val="single"/>
          <w:rtl/>
        </w:rPr>
        <w:t>ודוקו - השופט תמיר התייחס לטענות הנתבעת בדבר הטענות להתחייבויות בעל-פה של המנוח ודחה טענות אלו (ראו פסקה 21 ו-25 לפסק הדין בהליך הפירוק); השופט תמיר קבע כי משלא הגישה הנתבעת התנגדות לקיום צוואה ולא הגישה תביעה נגד כל היורשים בטענה להפרת הבטחתו של המנוח אין היא רשאית להעלות טענות בקשר עם הבטחותיו של המנוח, שינוי מצבה הכלכלי לרעה בגלל רכישת הדירה והפרת הבטחות מטעם המנוח בגדרי תביעה לפירוק שיתוף</w:t>
      </w:r>
      <w:r w:rsidRPr="009E0C15">
        <w:rPr>
          <w:rFonts w:asciiTheme="minorHAnsi" w:hAnsiTheme="minorHAnsi" w:hint="cs"/>
          <w:i/>
          <w:iCs/>
          <w:noProof w:val="0"/>
          <w:u w:val="single"/>
          <w:rtl/>
        </w:rPr>
        <w:t>"</w:t>
      </w:r>
      <w:r w:rsidRPr="005F5CE1">
        <w:rPr>
          <w:rFonts w:asciiTheme="minorHAnsi" w:hAnsiTheme="minorHAnsi"/>
          <w:i/>
          <w:iCs/>
          <w:noProof w:val="0"/>
          <w:rtl/>
        </w:rPr>
        <w:t>.</w:t>
      </w:r>
    </w:p>
    <w:p w:rsidR="005F5CE1" w:rsidRDefault="005F5CE1" w:rsidP="005F5CE1">
      <w:pPr>
        <w:spacing w:line="360" w:lineRule="auto"/>
        <w:jc w:val="both"/>
        <w:rPr>
          <w:rFonts w:ascii="Arial" w:hAnsi="Arial"/>
          <w:noProof w:val="0"/>
          <w:rtl/>
        </w:rPr>
      </w:pPr>
    </w:p>
    <w:p w:rsidR="009E0C15" w:rsidRDefault="009E0C15" w:rsidP="009E0C15">
      <w:pPr>
        <w:spacing w:line="360" w:lineRule="auto"/>
        <w:jc w:val="both"/>
        <w:rPr>
          <w:rFonts w:ascii="Arial" w:hAnsi="Arial"/>
          <w:noProof w:val="0"/>
          <w:rtl/>
        </w:rPr>
      </w:pPr>
      <w:r>
        <w:rPr>
          <w:rFonts w:ascii="Arial" w:hAnsi="Arial" w:hint="cs"/>
          <w:noProof w:val="0"/>
          <w:rtl/>
        </w:rPr>
        <w:t>15.7</w:t>
      </w:r>
      <w:r>
        <w:rPr>
          <w:rFonts w:ascii="Arial" w:hAnsi="Arial" w:hint="cs"/>
          <w:noProof w:val="0"/>
          <w:rtl/>
        </w:rPr>
        <w:tab/>
      </w:r>
      <w:r w:rsidR="005F5CE1">
        <w:rPr>
          <w:rFonts w:ascii="Arial" w:hAnsi="Arial" w:hint="cs"/>
          <w:noProof w:val="0"/>
          <w:rtl/>
        </w:rPr>
        <w:t xml:space="preserve">טענות התובעת </w:t>
      </w:r>
      <w:r>
        <w:rPr>
          <w:rFonts w:ascii="Arial" w:hAnsi="Arial" w:hint="cs"/>
          <w:noProof w:val="0"/>
          <w:rtl/>
        </w:rPr>
        <w:t>בדבר חבות הנתבעים לפצותה מבוססות על טענותיה ל</w:t>
      </w:r>
      <w:r w:rsidR="005F5CE1">
        <w:rPr>
          <w:rFonts w:ascii="Arial" w:hAnsi="Arial" w:hint="cs"/>
          <w:noProof w:val="0"/>
          <w:rtl/>
        </w:rPr>
        <w:t xml:space="preserve">הפרת התחייבות בעל פה של המנוח שיצווה לה את הזכויות בדירה, או שיעביר את זכויותיו בדירה על שמה בעודו בחיים, שהסכימה לרכוש את הזכויות בדירה על יסוד הבטחת המנוח שמלוא הזכויות ירשמו על שמה, שהמנוח התגורר בדירתה מבלי לשלם לה דמי שימוש </w:t>
      </w:r>
      <w:r>
        <w:rPr>
          <w:rFonts w:ascii="Arial" w:hAnsi="Arial"/>
          <w:noProof w:val="0"/>
          <w:rtl/>
        </w:rPr>
        <w:t>–</w:t>
      </w:r>
      <w:r w:rsidR="005F5CE1">
        <w:rPr>
          <w:rFonts w:ascii="Arial" w:hAnsi="Arial" w:hint="cs"/>
          <w:noProof w:val="0"/>
          <w:rtl/>
        </w:rPr>
        <w:t xml:space="preserve"> </w:t>
      </w:r>
      <w:r>
        <w:rPr>
          <w:rFonts w:ascii="Arial" w:hAnsi="Arial" w:hint="cs"/>
          <w:noProof w:val="0"/>
          <w:rtl/>
        </w:rPr>
        <w:t xml:space="preserve">אך אלה </w:t>
      </w:r>
      <w:r w:rsidR="005F5CE1">
        <w:rPr>
          <w:rFonts w:ascii="Arial" w:hAnsi="Arial" w:hint="cs"/>
          <w:noProof w:val="0"/>
          <w:rtl/>
        </w:rPr>
        <w:t xml:space="preserve">נדונו והוכרעו לגופן בתביעה לפירוק שיתוף, והתובעת מנועה מלשוב ולבקש הכרעה חוזרת בהן. </w:t>
      </w:r>
      <w:r w:rsidRPr="005F5CE1">
        <w:rPr>
          <w:noProof w:val="0"/>
          <w:color w:val="000000"/>
          <w:rtl/>
        </w:rPr>
        <w:t xml:space="preserve">מעשה בית דין </w:t>
      </w:r>
      <w:r>
        <w:rPr>
          <w:rFonts w:hint="cs"/>
          <w:noProof w:val="0"/>
          <w:color w:val="000000"/>
          <w:rtl/>
        </w:rPr>
        <w:t>ביחס לטענות אלה שגורר דחייתן על הסף שומט את הקרקע תחת עיקרה של התביעה ו</w:t>
      </w:r>
      <w:r w:rsidRPr="005F5CE1">
        <w:rPr>
          <w:noProof w:val="0"/>
          <w:color w:val="000000"/>
          <w:rtl/>
        </w:rPr>
        <w:t>הופך את רוב ה</w:t>
      </w:r>
      <w:r>
        <w:rPr>
          <w:rFonts w:hint="cs"/>
          <w:noProof w:val="0"/>
          <w:color w:val="000000"/>
          <w:rtl/>
        </w:rPr>
        <w:t>נטען ב</w:t>
      </w:r>
      <w:r w:rsidRPr="005F5CE1">
        <w:rPr>
          <w:noProof w:val="0"/>
          <w:color w:val="000000"/>
          <w:rtl/>
        </w:rPr>
        <w:t>כתב התביעה לכזה ש</w:t>
      </w:r>
      <w:r>
        <w:rPr>
          <w:rFonts w:hint="cs"/>
          <w:noProof w:val="0"/>
          <w:color w:val="000000"/>
          <w:rtl/>
        </w:rPr>
        <w:t>אינו מ</w:t>
      </w:r>
      <w:r w:rsidRPr="005F5CE1">
        <w:rPr>
          <w:noProof w:val="0"/>
          <w:color w:val="000000"/>
          <w:rtl/>
        </w:rPr>
        <w:t>בסס עילת תביעה</w:t>
      </w:r>
      <w:r>
        <w:rPr>
          <w:rFonts w:ascii="Arial" w:hAnsi="Arial" w:hint="cs"/>
          <w:noProof w:val="0"/>
          <w:rtl/>
        </w:rPr>
        <w:t>.</w:t>
      </w:r>
    </w:p>
    <w:p w:rsidR="009E0C15" w:rsidRDefault="009E0C15" w:rsidP="009E0C15">
      <w:pPr>
        <w:spacing w:line="360" w:lineRule="auto"/>
        <w:jc w:val="both"/>
        <w:rPr>
          <w:rFonts w:ascii="Arial" w:hAnsi="Arial"/>
          <w:noProof w:val="0"/>
          <w:rtl/>
        </w:rPr>
      </w:pPr>
    </w:p>
    <w:p w:rsidR="005F5CE1" w:rsidRDefault="005F5CE1" w:rsidP="009E0C15">
      <w:pPr>
        <w:spacing w:line="360" w:lineRule="auto"/>
        <w:jc w:val="both"/>
        <w:rPr>
          <w:rFonts w:ascii="Arial" w:hAnsi="Arial"/>
          <w:noProof w:val="0"/>
          <w:rtl/>
        </w:rPr>
      </w:pPr>
      <w:r>
        <w:rPr>
          <w:rFonts w:ascii="Arial" w:hAnsi="Arial" w:hint="cs"/>
          <w:noProof w:val="0"/>
          <w:rtl/>
        </w:rPr>
        <w:t>15.</w:t>
      </w:r>
      <w:r w:rsidR="009E0C15">
        <w:rPr>
          <w:rFonts w:ascii="Arial" w:hAnsi="Arial" w:hint="cs"/>
          <w:noProof w:val="0"/>
          <w:rtl/>
        </w:rPr>
        <w:t>8</w:t>
      </w:r>
      <w:r>
        <w:rPr>
          <w:rFonts w:ascii="Arial" w:hAnsi="Arial" w:hint="cs"/>
          <w:noProof w:val="0"/>
          <w:rtl/>
        </w:rPr>
        <w:tab/>
        <w:t xml:space="preserve">התיישנות </w:t>
      </w:r>
      <w:r>
        <w:rPr>
          <w:rFonts w:ascii="Arial" w:hAnsi="Arial"/>
          <w:noProof w:val="0"/>
          <w:rtl/>
        </w:rPr>
        <w:t>–</w:t>
      </w:r>
      <w:r>
        <w:rPr>
          <w:rFonts w:ascii="Arial" w:hAnsi="Arial" w:hint="cs"/>
          <w:noProof w:val="0"/>
          <w:rtl/>
        </w:rPr>
        <w:t xml:space="preserve"> המועד להגשת תביעה בשל הפרת התחייבויות המנוח, כמו גם תביעה ביחס להתנהלות חסרת תום הלב שהתובעת מבקשת לייחס לנתבעים לרבות "העוקץ" בעניין עריכת  הצוואה - חלף. טענת התובעת ש'טענות שיהוי והתיישנות אינן רלוונטיות משום שחובותיה לא התיישנו' נדחית. עילת התביעה נולדה עת נודע לתובעת על אודות הצוואה, היינו לכל המאוחר באזכרת השנה לפטירתו, חודש מאי 2013, ומכאן שהתביעה התיישנה.</w:t>
      </w:r>
    </w:p>
    <w:p w:rsidR="005F5CE1" w:rsidRDefault="005F5CE1" w:rsidP="005F5CE1">
      <w:pPr>
        <w:spacing w:line="360" w:lineRule="auto"/>
        <w:jc w:val="both"/>
        <w:rPr>
          <w:rFonts w:ascii="Arial" w:hAnsi="Arial"/>
          <w:noProof w:val="0"/>
          <w:rtl/>
        </w:rPr>
      </w:pPr>
    </w:p>
    <w:p w:rsidR="009E0C15" w:rsidRDefault="005F5CE1" w:rsidP="00E811F7">
      <w:pPr>
        <w:spacing w:line="360" w:lineRule="auto"/>
        <w:jc w:val="both"/>
        <w:rPr>
          <w:rFonts w:ascii="Arial" w:hAnsi="Arial"/>
          <w:noProof w:val="0"/>
          <w:rtl/>
        </w:rPr>
      </w:pPr>
      <w:r>
        <w:rPr>
          <w:rFonts w:ascii="Arial" w:hAnsi="Arial" w:hint="cs"/>
          <w:noProof w:val="0"/>
          <w:rtl/>
        </w:rPr>
        <w:t>15.</w:t>
      </w:r>
      <w:r w:rsidR="009E0C15">
        <w:rPr>
          <w:rFonts w:ascii="Arial" w:hAnsi="Arial" w:hint="cs"/>
          <w:noProof w:val="0"/>
          <w:rtl/>
        </w:rPr>
        <w:t>9</w:t>
      </w:r>
      <w:r>
        <w:rPr>
          <w:rFonts w:ascii="Arial" w:hAnsi="Arial" w:hint="cs"/>
          <w:noProof w:val="0"/>
          <w:rtl/>
        </w:rPr>
        <w:tab/>
      </w:r>
      <w:r w:rsidR="009E0C15">
        <w:rPr>
          <w:rFonts w:ascii="Arial" w:hAnsi="Arial"/>
          <w:noProof w:val="0"/>
          <w:rtl/>
        </w:rPr>
        <w:t>עצם ביצוע פסקי הדין לפירוק שיתוף ולתשלום דמי שימוש ראויים – שנ</w:t>
      </w:r>
      <w:r w:rsidR="00E811F7">
        <w:rPr>
          <w:rFonts w:ascii="Arial" w:hAnsi="Arial" w:hint="cs"/>
          <w:noProof w:val="0"/>
          <w:rtl/>
        </w:rPr>
        <w:t>תבעו</w:t>
      </w:r>
      <w:r w:rsidR="009E0C15">
        <w:rPr>
          <w:rFonts w:ascii="Arial" w:hAnsi="Arial"/>
          <w:noProof w:val="0"/>
          <w:rtl/>
        </w:rPr>
        <w:t xml:space="preserve"> מכח זכותו של הנתבע כבעלים של רבע מהזכויות בדירה – </w:t>
      </w:r>
      <w:r w:rsidR="009E0C15">
        <w:rPr>
          <w:rFonts w:ascii="Arial" w:hAnsi="Arial" w:hint="cs"/>
          <w:noProof w:val="0"/>
          <w:rtl/>
        </w:rPr>
        <w:t xml:space="preserve">וניתנו כדין לאחר שהתנהלו הליכים ממושכים בין התובעת והנתבע, </w:t>
      </w:r>
      <w:r w:rsidR="009E0C15">
        <w:rPr>
          <w:rFonts w:ascii="Arial" w:hAnsi="Arial"/>
          <w:noProof w:val="0"/>
          <w:rtl/>
        </w:rPr>
        <w:t>אינו מקנה לתובעת זכות לתבוע את הנתבע</w:t>
      </w:r>
      <w:r w:rsidR="009E0C15">
        <w:rPr>
          <w:rFonts w:ascii="Arial" w:hAnsi="Arial" w:hint="cs"/>
          <w:noProof w:val="0"/>
          <w:rtl/>
        </w:rPr>
        <w:t xml:space="preserve"> </w:t>
      </w:r>
      <w:r w:rsidR="009E0C15">
        <w:rPr>
          <w:rFonts w:ascii="Arial" w:hAnsi="Arial"/>
          <w:noProof w:val="0"/>
          <w:rtl/>
        </w:rPr>
        <w:t>בגין נזקים נטענים שנגרמו לה מביצוע פסקי הדין, ולא כל שכן את יתר הנתבעים שכלל לא היו צדדים להליכים אלה</w:t>
      </w:r>
      <w:r w:rsidR="009E0C15">
        <w:rPr>
          <w:rFonts w:ascii="Arial" w:hAnsi="Arial" w:hint="cs"/>
          <w:noProof w:val="0"/>
          <w:rtl/>
        </w:rPr>
        <w:t xml:space="preserve">. </w:t>
      </w:r>
    </w:p>
    <w:p w:rsidR="009E0C15" w:rsidRDefault="009E0C15" w:rsidP="009E0C15">
      <w:pPr>
        <w:spacing w:line="360" w:lineRule="auto"/>
        <w:jc w:val="both"/>
        <w:rPr>
          <w:rFonts w:ascii="Arial" w:hAnsi="Arial"/>
          <w:noProof w:val="0"/>
          <w:rtl/>
        </w:rPr>
      </w:pPr>
    </w:p>
    <w:p w:rsidR="005F5CE1" w:rsidRPr="005F5CE1" w:rsidRDefault="009E0C15" w:rsidP="00E811F7">
      <w:pPr>
        <w:spacing w:line="360" w:lineRule="auto"/>
        <w:jc w:val="both"/>
        <w:rPr>
          <w:rFonts w:ascii="Arial" w:hAnsi="Arial"/>
          <w:noProof w:val="0"/>
          <w:rtl/>
        </w:rPr>
      </w:pPr>
      <w:r>
        <w:rPr>
          <w:rFonts w:ascii="Arial" w:hAnsi="Arial" w:hint="cs"/>
          <w:noProof w:val="0"/>
          <w:rtl/>
        </w:rPr>
        <w:lastRenderedPageBreak/>
        <w:t>15.10</w:t>
      </w:r>
      <w:r>
        <w:rPr>
          <w:rFonts w:ascii="Arial" w:hAnsi="Arial" w:hint="cs"/>
          <w:noProof w:val="0"/>
          <w:rtl/>
        </w:rPr>
        <w:tab/>
      </w:r>
      <w:r w:rsidR="005F5CE1">
        <w:rPr>
          <w:rFonts w:ascii="Arial" w:hAnsi="Arial" w:hint="cs"/>
          <w:noProof w:val="0"/>
          <w:rtl/>
        </w:rPr>
        <w:t xml:space="preserve">התובעת הגישה כאמור תביעה 'כספית-נזיקית' לתשלום 1,500,000 </w:t>
      </w:r>
      <w:r>
        <w:rPr>
          <w:rFonts w:ascii="Arial" w:hAnsi="Arial" w:hint="cs"/>
          <w:noProof w:val="0"/>
          <w:rtl/>
        </w:rPr>
        <w:t>ש</w:t>
      </w:r>
      <w:r>
        <w:rPr>
          <w:rFonts w:ascii="Arial" w:hAnsi="Arial"/>
          <w:noProof w:val="0"/>
          <w:rtl/>
        </w:rPr>
        <w:t>"</w:t>
      </w:r>
      <w:r>
        <w:rPr>
          <w:rFonts w:ascii="Arial" w:hAnsi="Arial" w:hint="cs"/>
          <w:noProof w:val="0"/>
          <w:rtl/>
        </w:rPr>
        <w:t>ח</w:t>
      </w:r>
      <w:r w:rsidR="005F5CE1">
        <w:rPr>
          <w:rFonts w:ascii="Arial" w:hAnsi="Arial" w:hint="cs"/>
          <w:noProof w:val="0"/>
          <w:rtl/>
        </w:rPr>
        <w:t xml:space="preserve"> בשל נזקים שהנתבעים גרמו משום 'תאוות בצע'.</w:t>
      </w:r>
      <w:r>
        <w:rPr>
          <w:rFonts w:ascii="Arial" w:hAnsi="Arial" w:hint="cs"/>
          <w:noProof w:val="0"/>
          <w:rtl/>
        </w:rPr>
        <w:t xml:space="preserve"> זו התביעה שהתובעת בחרה להגיש. כאמור לעיל אין לאפשר בגדרי הליך זה דיון מחדש בהליכים שנדונו והוכרעו. בנוסף, אין </w:t>
      </w:r>
      <w:r w:rsidR="005F5CE1">
        <w:rPr>
          <w:rFonts w:ascii="Arial" w:hAnsi="Arial" w:hint="cs"/>
          <w:noProof w:val="0"/>
          <w:rtl/>
        </w:rPr>
        <w:t>מקום לדון ב</w:t>
      </w:r>
      <w:r w:rsidR="00E811F7">
        <w:rPr>
          <w:rFonts w:ascii="Arial" w:hAnsi="Arial" w:hint="cs"/>
          <w:noProof w:val="0"/>
          <w:rtl/>
        </w:rPr>
        <w:t>גדרה</w:t>
      </w:r>
      <w:r w:rsidR="005F5CE1">
        <w:rPr>
          <w:rFonts w:ascii="Arial" w:hAnsi="Arial" w:hint="cs"/>
          <w:noProof w:val="0"/>
          <w:rtl/>
        </w:rPr>
        <w:t xml:space="preserve"> בטענה האם התובעת זכאית למחצית מהזכויות </w:t>
      </w:r>
      <w:r w:rsidR="005F5CE1" w:rsidRPr="005F5CE1">
        <w:rPr>
          <w:rFonts w:ascii="Arial" w:hAnsi="Arial" w:hint="cs"/>
          <w:noProof w:val="0"/>
          <w:rtl/>
        </w:rPr>
        <w:t xml:space="preserve">שהמנוח צבר משום </w:t>
      </w:r>
      <w:r>
        <w:rPr>
          <w:rFonts w:ascii="Arial" w:hAnsi="Arial" w:hint="cs"/>
          <w:noProof w:val="0"/>
          <w:rtl/>
        </w:rPr>
        <w:t xml:space="preserve">היותה </w:t>
      </w:r>
      <w:r w:rsidR="005F5CE1" w:rsidRPr="005F5CE1">
        <w:rPr>
          <w:rFonts w:ascii="Arial" w:hAnsi="Arial" w:hint="cs"/>
          <w:noProof w:val="0"/>
          <w:rtl/>
        </w:rPr>
        <w:t>ידוע</w:t>
      </w:r>
      <w:r>
        <w:rPr>
          <w:rFonts w:ascii="Arial" w:hAnsi="Arial" w:hint="cs"/>
          <w:noProof w:val="0"/>
          <w:rtl/>
        </w:rPr>
        <w:t>ה</w:t>
      </w:r>
      <w:r w:rsidR="005F5CE1" w:rsidRPr="005F5CE1">
        <w:rPr>
          <w:rFonts w:ascii="Arial" w:hAnsi="Arial" w:hint="cs"/>
          <w:noProof w:val="0"/>
          <w:rtl/>
        </w:rPr>
        <w:t xml:space="preserve"> בציבור, </w:t>
      </w:r>
      <w:r>
        <w:rPr>
          <w:rFonts w:ascii="Arial" w:hAnsi="Arial" w:hint="cs"/>
          <w:noProof w:val="0"/>
          <w:rtl/>
        </w:rPr>
        <w:t xml:space="preserve">מה גם שהיא לא </w:t>
      </w:r>
      <w:r w:rsidR="005F5CE1" w:rsidRPr="005F5CE1">
        <w:rPr>
          <w:rFonts w:ascii="Arial" w:hAnsi="Arial" w:hint="cs"/>
          <w:noProof w:val="0"/>
          <w:rtl/>
        </w:rPr>
        <w:t>פורט</w:t>
      </w:r>
      <w:r>
        <w:rPr>
          <w:rFonts w:ascii="Arial" w:hAnsi="Arial" w:hint="cs"/>
          <w:noProof w:val="0"/>
          <w:rtl/>
        </w:rPr>
        <w:t>ה</w:t>
      </w:r>
      <w:r w:rsidR="005F5CE1" w:rsidRPr="005F5CE1">
        <w:rPr>
          <w:rFonts w:ascii="Arial" w:hAnsi="Arial" w:hint="cs"/>
          <w:noProof w:val="0"/>
          <w:rtl/>
        </w:rPr>
        <w:t xml:space="preserve"> כדבעי ולטענת הנתבעים</w:t>
      </w:r>
      <w:r w:rsidR="00E811F7">
        <w:rPr>
          <w:rFonts w:ascii="Arial" w:hAnsi="Arial" w:hint="cs"/>
          <w:noProof w:val="0"/>
          <w:rtl/>
        </w:rPr>
        <w:t xml:space="preserve"> אף</w:t>
      </w:r>
      <w:r w:rsidR="005F5CE1" w:rsidRPr="005F5CE1">
        <w:rPr>
          <w:rFonts w:ascii="Arial" w:hAnsi="Arial" w:hint="cs"/>
          <w:noProof w:val="0"/>
          <w:rtl/>
        </w:rPr>
        <w:t xml:space="preserve"> התיישנה. למעלה מהדרוש - התובעת והמנוח ערכו הסכם ממון וקבעו הפרדה רכושית מלאה ביחס לנכסים שנצברו טרם 1.3.2005, ובנוסף שתנאי לשיתוף רכושי ברכוש שייצבר לאחר 1.3.2005 הוא 'מאמץ משותף', אך אין מחלוקת שהזכויות בדירה נרכשו ממקורותיהם הפרטיים של </w:t>
      </w:r>
      <w:r>
        <w:rPr>
          <w:rFonts w:ascii="Arial" w:hAnsi="Arial" w:hint="cs"/>
          <w:noProof w:val="0"/>
          <w:rtl/>
        </w:rPr>
        <w:t>התובעת והמנוח</w:t>
      </w:r>
      <w:r w:rsidR="005F5CE1" w:rsidRPr="005F5CE1">
        <w:rPr>
          <w:rFonts w:ascii="Arial" w:hAnsi="Arial" w:hint="cs"/>
          <w:noProof w:val="0"/>
          <w:rtl/>
        </w:rPr>
        <w:t>, והתובעת לא הצביעה על נכס כלשהו שנצבר בתקופת החיים המשותפים</w:t>
      </w:r>
      <w:r>
        <w:rPr>
          <w:rFonts w:ascii="Arial" w:hAnsi="Arial" w:hint="cs"/>
          <w:noProof w:val="0"/>
          <w:rtl/>
        </w:rPr>
        <w:t xml:space="preserve">. לכאורה </w:t>
      </w:r>
      <w:r w:rsidR="005F5CE1" w:rsidRPr="005F5CE1">
        <w:rPr>
          <w:rFonts w:ascii="Arial" w:hAnsi="Arial" w:hint="cs"/>
          <w:noProof w:val="0"/>
          <w:rtl/>
        </w:rPr>
        <w:t>קבלת טענת התובעת בעניין זה משמעותה שהזכויות בדירה שייכות לה ולמנוח בחלקים שווים על אף אופן רישומן.</w:t>
      </w:r>
    </w:p>
    <w:p w:rsidR="005C7F45" w:rsidRDefault="005C7F45" w:rsidP="005C7F45">
      <w:pPr>
        <w:spacing w:line="360" w:lineRule="auto"/>
        <w:jc w:val="both"/>
        <w:rPr>
          <w:rFonts w:ascii="Arial" w:hAnsi="Arial"/>
          <w:noProof w:val="0"/>
          <w:rtl/>
        </w:rPr>
      </w:pPr>
    </w:p>
    <w:p w:rsidR="009E0C15" w:rsidRDefault="005F5CE1" w:rsidP="00E811F7">
      <w:pPr>
        <w:spacing w:line="360" w:lineRule="auto"/>
        <w:jc w:val="both"/>
        <w:rPr>
          <w:rFonts w:ascii="Arial" w:hAnsi="Arial"/>
          <w:noProof w:val="0"/>
          <w:rtl/>
        </w:rPr>
      </w:pPr>
      <w:r w:rsidRPr="005F5CE1">
        <w:rPr>
          <w:rFonts w:ascii="Arial" w:hAnsi="Arial" w:hint="cs"/>
          <w:noProof w:val="0"/>
          <w:rtl/>
        </w:rPr>
        <w:t>16.</w:t>
      </w:r>
      <w:r w:rsidRPr="005F5CE1">
        <w:rPr>
          <w:rFonts w:ascii="Arial" w:hAnsi="Arial" w:hint="cs"/>
          <w:noProof w:val="0"/>
          <w:rtl/>
        </w:rPr>
        <w:tab/>
        <w:t>התוצאה היא שהבקשה לסילוק התביעה על הסף נעתרת</w:t>
      </w:r>
      <w:r w:rsidR="009E0C15">
        <w:rPr>
          <w:rFonts w:ascii="Arial" w:hAnsi="Arial" w:hint="cs"/>
          <w:noProof w:val="0"/>
          <w:rtl/>
        </w:rPr>
        <w:t xml:space="preserve">. התביעה כפי שהוגשה נמחקת, אך מובהר שהטענות בדבר מעשה בית דין משמעותן דחייה על הסף (ולא מחיקה) של כלל הטענות שנדונו והוכרעו בהליכים בעניין פירוק שיתוף ובעניין תשלום דמי שימוש ראויים. לפיכך, תביעה חדשה, ככל שתוגש, לא תכלול טענות שנדחו לעיל מחמת מעשה בית דין. ביחס ליתר הטענות, ככל שתוגש תביעה חדשה </w:t>
      </w:r>
      <w:r w:rsidR="009E0C15">
        <w:rPr>
          <w:rFonts w:ascii="Arial" w:hAnsi="Arial"/>
          <w:noProof w:val="0"/>
          <w:rtl/>
        </w:rPr>
        <w:t>–</w:t>
      </w:r>
      <w:r w:rsidR="009E0C15">
        <w:rPr>
          <w:rFonts w:ascii="Arial" w:hAnsi="Arial" w:hint="cs"/>
          <w:noProof w:val="0"/>
          <w:rtl/>
        </w:rPr>
        <w:t xml:space="preserve"> שמורות לצדדים טענותיהם בעניין </w:t>
      </w:r>
      <w:r w:rsidR="00E811F7">
        <w:rPr>
          <w:rFonts w:ascii="Arial" w:hAnsi="Arial" w:hint="cs"/>
          <w:noProof w:val="0"/>
          <w:rtl/>
        </w:rPr>
        <w:t>שיהוי ו</w:t>
      </w:r>
      <w:r w:rsidR="009E0C15">
        <w:rPr>
          <w:rFonts w:ascii="Arial" w:hAnsi="Arial" w:hint="cs"/>
          <w:noProof w:val="0"/>
          <w:rtl/>
        </w:rPr>
        <w:t>התיישנות.</w:t>
      </w:r>
    </w:p>
    <w:p w:rsidR="005F5CE1" w:rsidRDefault="005F5CE1" w:rsidP="009E0C15">
      <w:pPr>
        <w:spacing w:line="360" w:lineRule="auto"/>
        <w:jc w:val="both"/>
        <w:rPr>
          <w:rFonts w:ascii="Arial" w:hAnsi="Arial"/>
          <w:noProof w:val="0"/>
          <w:rtl/>
        </w:rPr>
      </w:pPr>
    </w:p>
    <w:p w:rsidR="009E0C15" w:rsidRPr="009E0C15" w:rsidRDefault="009E0C15" w:rsidP="007911C0">
      <w:pPr>
        <w:spacing w:line="360" w:lineRule="auto"/>
        <w:jc w:val="both"/>
        <w:rPr>
          <w:rFonts w:ascii="Arial" w:hAnsi="Arial"/>
          <w:noProof w:val="0"/>
          <w:rtl/>
        </w:rPr>
      </w:pPr>
      <w:r>
        <w:rPr>
          <w:rFonts w:ascii="Arial" w:hAnsi="Arial" w:hint="cs"/>
          <w:noProof w:val="0"/>
          <w:rtl/>
        </w:rPr>
        <w:t>17.</w:t>
      </w:r>
      <w:r>
        <w:rPr>
          <w:rFonts w:ascii="Arial" w:hAnsi="Arial" w:hint="cs"/>
          <w:noProof w:val="0"/>
          <w:rtl/>
        </w:rPr>
        <w:tab/>
        <w:t xml:space="preserve">לאור התוצאה, בהתחשב במהות ההליך, </w:t>
      </w:r>
      <w:r w:rsidR="00E811F7">
        <w:rPr>
          <w:rFonts w:ascii="Arial" w:hAnsi="Arial" w:hint="cs"/>
          <w:noProof w:val="0"/>
          <w:rtl/>
        </w:rPr>
        <w:t>בהתנהלות הצדדים ו</w:t>
      </w:r>
      <w:r>
        <w:rPr>
          <w:rFonts w:ascii="Arial" w:hAnsi="Arial" w:hint="cs"/>
          <w:noProof w:val="0"/>
          <w:rtl/>
        </w:rPr>
        <w:t>בשלב הדיוני בו ניתנה החלטה זו</w:t>
      </w:r>
      <w:r w:rsidR="00E811F7">
        <w:rPr>
          <w:rFonts w:ascii="Arial" w:hAnsi="Arial" w:hint="cs"/>
          <w:noProof w:val="0"/>
          <w:rtl/>
        </w:rPr>
        <w:t xml:space="preserve"> (</w:t>
      </w:r>
      <w:r>
        <w:rPr>
          <w:rFonts w:ascii="Arial" w:hAnsi="Arial" w:hint="cs"/>
          <w:noProof w:val="0"/>
          <w:rtl/>
        </w:rPr>
        <w:t>לאחר שהתקיים דיון ובטרם הוגש כתב הגנה</w:t>
      </w:r>
      <w:r w:rsidR="00E811F7">
        <w:rPr>
          <w:rFonts w:ascii="Arial" w:hAnsi="Arial" w:hint="cs"/>
          <w:noProof w:val="0"/>
          <w:rtl/>
        </w:rPr>
        <w:t xml:space="preserve">) - </w:t>
      </w:r>
      <w:r>
        <w:rPr>
          <w:rFonts w:ascii="Arial" w:hAnsi="Arial" w:hint="cs"/>
          <w:noProof w:val="0"/>
          <w:rtl/>
        </w:rPr>
        <w:t xml:space="preserve">התובעת תישא בהוצאות הנתבעים ובשכר טרחת באות כוחן, בשיעור כולל של </w:t>
      </w:r>
      <w:r w:rsidR="007911C0">
        <w:rPr>
          <w:rFonts w:ascii="Arial" w:hAnsi="Arial" w:hint="cs"/>
          <w:noProof w:val="0"/>
          <w:rtl/>
        </w:rPr>
        <w:t>5,850</w:t>
      </w:r>
      <w:r>
        <w:rPr>
          <w:rFonts w:ascii="Arial" w:hAnsi="Arial" w:hint="cs"/>
          <w:noProof w:val="0"/>
          <w:rtl/>
        </w:rPr>
        <w:t xml:space="preserve"> ש"ח.</w:t>
      </w:r>
    </w:p>
    <w:p w:rsidR="009E0C15" w:rsidRDefault="009E0C15" w:rsidP="009E0C15">
      <w:pPr>
        <w:spacing w:line="360" w:lineRule="auto"/>
        <w:jc w:val="both"/>
        <w:rPr>
          <w:rFonts w:ascii="Arial" w:hAnsi="Arial"/>
          <w:noProof w:val="0"/>
          <w:rtl/>
        </w:rPr>
      </w:pPr>
    </w:p>
    <w:p w:rsidR="00965854" w:rsidRDefault="009E0C15" w:rsidP="009E0C15">
      <w:pPr>
        <w:spacing w:line="360" w:lineRule="auto"/>
        <w:jc w:val="both"/>
        <w:rPr>
          <w:rFonts w:ascii="Arial" w:hAnsi="Arial"/>
          <w:noProof w:val="0"/>
          <w:rtl/>
        </w:rPr>
      </w:pPr>
      <w:r>
        <w:rPr>
          <w:rFonts w:ascii="Arial" w:hAnsi="Arial" w:hint="cs"/>
          <w:noProof w:val="0"/>
          <w:rtl/>
        </w:rPr>
        <w:t>18.</w:t>
      </w:r>
      <w:r>
        <w:rPr>
          <w:rFonts w:ascii="Arial" w:hAnsi="Arial" w:hint="cs"/>
          <w:noProof w:val="0"/>
          <w:rtl/>
        </w:rPr>
        <w:tab/>
      </w:r>
      <w:r w:rsidR="00965854">
        <w:rPr>
          <w:rFonts w:ascii="Arial" w:hAnsi="Arial"/>
          <w:noProof w:val="0"/>
          <w:rtl/>
        </w:rPr>
        <w:t>ההחלטה מותרת לפרסום בהשמטת שמות הצדדים ופרטים מזהים.</w:t>
      </w:r>
    </w:p>
    <w:p w:rsidR="007911C0" w:rsidRDefault="007911C0" w:rsidP="009E0C15">
      <w:pPr>
        <w:spacing w:line="360" w:lineRule="auto"/>
        <w:jc w:val="both"/>
        <w:rPr>
          <w:rFonts w:ascii="Arial" w:hAnsi="Arial"/>
          <w:noProof w:val="0"/>
          <w:rtl/>
        </w:rPr>
      </w:pPr>
    </w:p>
    <w:p w:rsidR="007911C0" w:rsidRDefault="007911C0" w:rsidP="007911C0">
      <w:pPr>
        <w:spacing w:line="360" w:lineRule="auto"/>
        <w:jc w:val="both"/>
        <w:rPr>
          <w:rFonts w:ascii="Arial" w:hAnsi="Arial"/>
          <w:noProof w:val="0"/>
          <w:rtl/>
        </w:rPr>
      </w:pPr>
      <w:r>
        <w:rPr>
          <w:rFonts w:ascii="Arial" w:hAnsi="Arial"/>
          <w:noProof w:val="0"/>
          <w:rtl/>
        </w:rPr>
        <w:t xml:space="preserve">ניתנה היום,  </w:t>
      </w:r>
      <w:sdt>
        <w:sdtPr>
          <w:rPr>
            <w:rtl/>
          </w:rPr>
          <w:alias w:val="1455"/>
          <w:tag w:val="1455"/>
          <w:id w:val="-181669360"/>
          <w:text w:multiLine="1"/>
        </w:sdtPr>
        <w:sdtEndPr/>
        <w:sdtContent>
          <w:r>
            <w:rPr>
              <w:rFonts w:ascii="Arial" w:hAnsi="Arial"/>
              <w:noProof w:val="0"/>
              <w:rtl/>
            </w:rPr>
            <w:t>כ"ט תמוז תשפ"ד</w:t>
          </w:r>
        </w:sdtContent>
      </w:sdt>
      <w:r>
        <w:rPr>
          <w:rFonts w:ascii="Arial" w:hAnsi="Arial"/>
          <w:noProof w:val="0"/>
          <w:rtl/>
        </w:rPr>
        <w:t xml:space="preserve">, </w:t>
      </w:r>
      <w:sdt>
        <w:sdtPr>
          <w:rPr>
            <w:rtl/>
          </w:rPr>
          <w:alias w:val="1456"/>
          <w:tag w:val="1456"/>
          <w:id w:val="-1091704228"/>
          <w:text w:multiLine="1"/>
        </w:sdtPr>
        <w:sdtEndPr/>
        <w:sdtContent>
          <w:r>
            <w:rPr>
              <w:rFonts w:ascii="Arial" w:hAnsi="Arial"/>
              <w:noProof w:val="0"/>
              <w:rtl/>
            </w:rPr>
            <w:t>04 אוגוסט 2024</w:t>
          </w:r>
        </w:sdtContent>
      </w:sdt>
      <w:r>
        <w:rPr>
          <w:rFonts w:ascii="Arial" w:hAnsi="Arial"/>
          <w:noProof w:val="0"/>
          <w:rtl/>
        </w:rPr>
        <w:t>, בהעדר הצדדים.</w:t>
      </w:r>
    </w:p>
    <w:p w:rsidR="007911C0" w:rsidRDefault="00841831" w:rsidP="007911C0">
      <w:pPr>
        <w:spacing w:line="360" w:lineRule="auto"/>
        <w:ind w:left="720" w:firstLine="720"/>
        <w:jc w:val="center"/>
        <w:rPr>
          <w:rFonts w:ascii="Arial" w:hAnsi="Arial"/>
          <w:noProof w:val="0"/>
          <w:rtl/>
        </w:rPr>
      </w:pPr>
      <w:sdt>
        <w:sdtPr>
          <w:rPr>
            <w:rtl/>
          </w:rPr>
          <w:alias w:val="MergeField"/>
          <w:tag w:val="1237"/>
          <w:id w:val="1842733130"/>
        </w:sdtPr>
        <w:sdtEndPr/>
        <w:sdtContent>
          <w:r w:rsidR="007911C0">
            <w:drawing>
              <wp:inline distT="0" distB="0" distL="0" distR="0">
                <wp:extent cx="933450" cy="733425"/>
                <wp:effectExtent l="0" t="0" r="0" b="9525"/>
                <wp:docPr id="1" name="תמונה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33450" cy="733425"/>
                        </a:xfrm>
                        <a:prstGeom prst="rect">
                          <a:avLst/>
                        </a:prstGeom>
                        <a:noFill/>
                        <a:ln>
                          <a:noFill/>
                        </a:ln>
                      </pic:spPr>
                    </pic:pic>
                  </a:graphicData>
                </a:graphic>
              </wp:inline>
            </w:drawing>
          </w:r>
        </w:sdtContent>
      </w:sdt>
    </w:p>
    <w:sectPr w:rsidR="007911C0" w:rsidSect="002914D6">
      <w:headerReference w:type="even" r:id="rId10"/>
      <w:headerReference w:type="default" r:id="rId11"/>
      <w:footerReference w:type="even" r:id="rId12"/>
      <w:footerReference w:type="default" r:id="rId13"/>
      <w:headerReference w:type="first" r:id="rId14"/>
      <w:footerReference w:type="first" r:id="rId15"/>
      <w:pgSz w:w="11907" w:h="16840" w:code="9"/>
      <w:pgMar w:top="720" w:right="1701" w:bottom="43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41831" w:rsidRDefault="00841831">
      <w:r>
        <w:separator/>
      </w:r>
    </w:p>
  </w:endnote>
  <w:endnote w:type="continuationSeparator" w:id="0">
    <w:p w:rsidR="00841831" w:rsidRDefault="008418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39C9" w:rsidRDefault="007139C9">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5854" w:rsidRPr="00965854" w:rsidRDefault="00965854">
    <w:pPr>
      <w:pStyle w:val="a4"/>
      <w:jc w:val="center"/>
      <w:rPr>
        <w:rStyle w:val="ab"/>
        <w:sz w:val="22"/>
        <w:szCs w:val="22"/>
      </w:rPr>
    </w:pPr>
  </w:p>
  <w:p w:rsidR="002914D6" w:rsidRDefault="00242BA8">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C71034">
      <w:rPr>
        <w:rStyle w:val="ab"/>
        <w:rtl/>
      </w:rPr>
      <w:t>1</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C71034">
      <w:rPr>
        <w:rStyle w:val="ab"/>
        <w:rtl/>
      </w:rPr>
      <w:t>9</w:t>
    </w:r>
    <w:r>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39C9" w:rsidRDefault="007139C9">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41831" w:rsidRDefault="00841831">
      <w:r>
        <w:separator/>
      </w:r>
    </w:p>
  </w:footnote>
  <w:footnote w:type="continuationSeparator" w:id="0">
    <w:p w:rsidR="00841831" w:rsidRDefault="008418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39C9" w:rsidRDefault="007139C9">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946045">
    <w:pPr>
      <w:pStyle w:val="a3"/>
      <w:jc w:val="center"/>
      <w:rPr>
        <w:rFonts w:cs="FrankRuehl"/>
        <w:noProof w:val="0"/>
        <w:sz w:val="28"/>
        <w:szCs w:val="28"/>
        <w:rtl/>
      </w:rPr>
    </w:pPr>
    <w:r>
      <w:rPr>
        <w:rFonts w:cs="FrankRuehl"/>
        <w:sz w:val="28"/>
        <w:szCs w:val="28"/>
      </w:rPr>
      <w:drawing>
        <wp:inline distT="0" distB="0" distL="0" distR="0">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2914D6">
      <w:trPr>
        <w:trHeight w:hRule="exact" w:val="418"/>
        <w:jc w:val="center"/>
      </w:trPr>
      <w:sdt>
        <w:sdtPr>
          <w:rPr>
            <w:rtl/>
          </w:rPr>
          <w:alias w:val="1174"/>
          <w:tag w:val="1174"/>
          <w:id w:val="-1271863099"/>
          <w:text/>
        </w:sdtPr>
        <w:sdtEndPr/>
        <w:sdtContent>
          <w:tc>
            <w:tcPr>
              <w:tcW w:w="8721" w:type="dxa"/>
              <w:gridSpan w:val="2"/>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בתל אביב -יפו</w:t>
              </w:r>
            </w:p>
          </w:tc>
        </w:sdtContent>
      </w:sdt>
    </w:tr>
    <w:tr w:rsidR="002914D6">
      <w:trPr>
        <w:trHeight w:val="337"/>
        <w:jc w:val="center"/>
      </w:trPr>
      <w:tc>
        <w:tcPr>
          <w:tcW w:w="5047" w:type="dxa"/>
        </w:tcPr>
        <w:p w:rsidR="002914D6" w:rsidRDefault="002914D6">
          <w:pPr>
            <w:rPr>
              <w:b/>
              <w:bCs/>
              <w:noProof w:val="0"/>
              <w:sz w:val="26"/>
              <w:szCs w:val="26"/>
              <w:rtl/>
            </w:rPr>
          </w:pPr>
        </w:p>
      </w:tc>
      <w:tc>
        <w:tcPr>
          <w:tcW w:w="3674" w:type="dxa"/>
        </w:tcPr>
        <w:p w:rsidR="002914D6" w:rsidRDefault="002914D6">
          <w:pPr>
            <w:pStyle w:val="a3"/>
            <w:jc w:val="right"/>
            <w:rPr>
              <w:b/>
              <w:bCs/>
              <w:noProof w:val="0"/>
              <w:sz w:val="26"/>
              <w:szCs w:val="26"/>
              <w:rtl/>
            </w:rPr>
          </w:pPr>
        </w:p>
      </w:tc>
    </w:tr>
    <w:tr w:rsidR="002914D6">
      <w:trPr>
        <w:trHeight w:val="337"/>
        <w:jc w:val="center"/>
      </w:trPr>
      <w:tc>
        <w:tcPr>
          <w:tcW w:w="8721" w:type="dxa"/>
          <w:gridSpan w:val="2"/>
        </w:tcPr>
        <w:p w:rsidR="002914D6" w:rsidRDefault="00577B9D" w:rsidP="00577B9D">
          <w:pPr>
            <w:rPr>
              <w:rtl/>
            </w:rPr>
          </w:pPr>
          <w:r>
            <w:rPr>
              <w:rFonts w:hint="cs"/>
              <w:b/>
              <w:bCs/>
              <w:noProof w:val="0"/>
              <w:sz w:val="26"/>
              <w:szCs w:val="26"/>
              <w:rtl/>
            </w:rPr>
            <w:t>תמ"ש 12854-11-23</w:t>
          </w:r>
          <w:r w:rsidR="00011212">
            <w:rPr>
              <w:b/>
              <w:bCs/>
              <w:noProof w:val="0"/>
              <w:sz w:val="26"/>
              <w:szCs w:val="26"/>
              <w:rtl/>
            </w:rPr>
            <w:t xml:space="preserve"> </w:t>
          </w:r>
          <w:sdt>
            <w:sdtPr>
              <w:rPr>
                <w:rtl/>
              </w:rPr>
              <w:alias w:val="1172"/>
              <w:tag w:val="1172"/>
              <w:id w:val="-1735694493"/>
              <w:text w:multiLine="1"/>
            </w:sdtPr>
            <w:sdtEndPr/>
            <w:sdtContent>
              <w:r w:rsidR="00A7089E">
                <w:rPr>
                  <w:rFonts w:hint="cs"/>
                  <w:b/>
                  <w:bCs/>
                  <w:noProof w:val="0"/>
                  <w:sz w:val="26"/>
                  <w:szCs w:val="26"/>
                  <w:rtl/>
                </w:rPr>
                <w:t>פלונית נ' פלוני</w:t>
              </w:r>
              <w:r>
                <w:rPr>
                  <w:rFonts w:hint="cs"/>
                  <w:b/>
                  <w:bCs/>
                  <w:noProof w:val="0"/>
                  <w:sz w:val="26"/>
                  <w:szCs w:val="26"/>
                  <w:rtl/>
                </w:rPr>
                <w:t xml:space="preserve"> ואח'</w:t>
              </w:r>
              <w:r w:rsidR="00A7089E">
                <w:rPr>
                  <w:rFonts w:hint="cs"/>
                  <w:b/>
                  <w:bCs/>
                  <w:noProof w:val="0"/>
                  <w:sz w:val="26"/>
                  <w:szCs w:val="26"/>
                  <w:rtl/>
                </w:rPr>
                <w:t xml:space="preserve"> </w:t>
              </w:r>
            </w:sdtContent>
          </w:sdt>
        </w:p>
        <w:p w:rsidR="00965854" w:rsidRDefault="00965854">
          <w:pPr>
            <w:rPr>
              <w:b/>
              <w:bCs/>
              <w:rtl/>
            </w:rPr>
          </w:pPr>
        </w:p>
        <w:p w:rsidR="00965854" w:rsidRPr="00965854" w:rsidRDefault="00965854">
          <w:pPr>
            <w:rPr>
              <w:b/>
              <w:bCs/>
              <w:sz w:val="26"/>
              <w:szCs w:val="26"/>
              <w:rtl/>
            </w:rPr>
          </w:pPr>
          <w:r w:rsidRPr="00965854">
            <w:rPr>
              <w:rFonts w:hint="cs"/>
              <w:b/>
              <w:bCs/>
              <w:sz w:val="26"/>
              <w:szCs w:val="26"/>
              <w:rtl/>
            </w:rPr>
            <w:t>לפני כב' השופטת קרן גיל</w:t>
          </w:r>
        </w:p>
        <w:p w:rsidR="00965854" w:rsidRPr="00965854" w:rsidRDefault="009E0C15" w:rsidP="00965854">
          <w:pPr>
            <w:jc w:val="right"/>
            <w:rPr>
              <w:b/>
              <w:bCs/>
              <w:sz w:val="26"/>
              <w:szCs w:val="26"/>
              <w:rtl/>
            </w:rPr>
          </w:pPr>
          <w:r>
            <w:rPr>
              <w:rFonts w:hint="cs"/>
              <w:b/>
              <w:bCs/>
              <w:sz w:val="26"/>
              <w:szCs w:val="26"/>
              <w:rtl/>
            </w:rPr>
            <w:t>4</w:t>
          </w:r>
          <w:r w:rsidR="00965854" w:rsidRPr="00965854">
            <w:rPr>
              <w:rFonts w:hint="cs"/>
              <w:b/>
              <w:bCs/>
              <w:sz w:val="26"/>
              <w:szCs w:val="26"/>
              <w:rtl/>
            </w:rPr>
            <w:t xml:space="preserve"> אוגוסט 2024</w:t>
          </w:r>
        </w:p>
        <w:p w:rsidR="00965854" w:rsidRPr="00965854" w:rsidRDefault="00965854">
          <w:pPr>
            <w:rPr>
              <w:b/>
              <w:bCs/>
              <w:noProof w:val="0"/>
              <w:sz w:val="20"/>
              <w:szCs w:val="20"/>
              <w:rtl/>
            </w:rPr>
          </w:pPr>
        </w:p>
        <w:p w:rsidR="002914D6" w:rsidRDefault="002914D6">
          <w:pPr>
            <w:rPr>
              <w:rtl/>
            </w:rPr>
          </w:pPr>
        </w:p>
      </w:tc>
    </w:tr>
  </w:tbl>
  <w:p w:rsidR="002914D6" w:rsidRDefault="00011212">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39C9" w:rsidRDefault="007139C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EDC31B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78D66E1A"/>
    <w:multiLevelType w:val="hybridMultilevel"/>
    <w:tmpl w:val="3D5C4DBC"/>
    <w:lvl w:ilvl="0" w:tplc="879834A8">
      <w:start w:val="1"/>
      <w:numFmt w:val="decimal"/>
      <w:lvlText w:val="%1."/>
      <w:lvlJc w:val="left"/>
      <w:pPr>
        <w:ind w:left="720" w:hanging="360"/>
      </w:pPr>
      <w:rPr>
        <w:rFonts w:cs="Times New Roman"/>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901573"/>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901573&amp;lt;/CaseID&amp;gt;_x000d__x000a_        &amp;lt;CaseMonth&amp;gt;1&amp;lt;/CaseMonth&amp;gt;_x000d__x000a_        &amp;lt;CaseYear&amp;gt;2024&amp;lt;/CaseYear&amp;gt;_x000d__x000a_        &amp;lt;CaseNumber&amp;gt;27197&amp;lt;/CaseNumber&amp;gt;_x000d__x000a_        &amp;lt;NumeratorGroupID&amp;gt;1&amp;lt;/NumeratorGroupID&amp;gt;_x000d__x000a_        &amp;lt;CaseName&amp;gt;אלתגר נ&amp;#39; אלתגר&amp;lt;/CaseName&amp;gt;_x000d__x000a_        &amp;lt;CourtID&amp;gt;33&amp;lt;/CourtID&amp;gt;_x000d__x000a_        &amp;lt;CaseTypeID&amp;gt;10262&amp;lt;/CaseTypeID&amp;gt;_x000d__x000a_        &amp;lt;CaseInterestID&amp;gt;10118&amp;lt;/CaseInterestID&amp;gt;_x000d__x000a_        &amp;lt;CaseJudgeName&amp;gt;קרן גיל&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27197-01-24&amp;lt;/CaseDisplayIdentifier&amp;gt;_x000d__x000a_        &amp;lt;CaseTypeDesc&amp;gt;תלה&amp;quot;מ&amp;lt;/CaseTypeDesc&amp;gt;_x000d__x000a_        &amp;lt;CourtDesc&amp;gt;ענייני משפחה במחוז ת&amp;quot;א&amp;lt;/CourtDesc&amp;gt;_x000d__x000a_        &amp;lt;CaseStageDesc&amp;gt;תיק אלקטרוני&amp;lt;/CaseStageDesc&amp;gt;_x000d__x000a_        &amp;lt;IsUnpaidFeeExist&amp;gt;false&amp;lt;/IsUnpaidFeeExist&amp;gt;_x000d__x000a_        &amp;lt;CaseNextDeterminingTask&amp;gt;140&amp;lt;/CaseNextDeterminingTask&amp;gt;_x000d__x000a_        &amp;lt;CaseOpenDate&amp;gt;2024-01-11T10:43:00+02:00&amp;lt;/CaseOpenDate&amp;gt;_x000d__x000a_        &amp;lt;PleaTypeID&amp;gt;4&amp;lt;/PleaTypeID&amp;gt;_x000d__x000a_        &amp;lt;CourtLevelID&amp;gt;1&amp;lt;/CourtLevelID&amp;gt;_x000d__x000a_        &amp;lt;CourtLevelCaseTypeInterestID&amp;gt;1599&amp;lt;/CourtLevelCaseTypeInterestID&amp;gt;_x000d__x000a_        &amp;lt;CaseJudgeFirstName&amp;gt;קרן&amp;lt;/CaseJudgeFirstName&amp;gt;_x000d__x000a_        &amp;lt;CaseJudgeLastName&amp;gt;גיל&amp;lt;/CaseJudgeLastName&amp;gt;_x000d__x000a_        &amp;lt;JudicalPersonID&amp;gt;038331781@GOV.IL&amp;lt;/JudicalPersonID&amp;gt;_x000d__x000a_        &amp;lt;IsJudicalPanel&amp;gt;false&amp;lt;/IsJudicalPanel&amp;gt;_x000d__x000a_        &amp;lt;CourtDisplayName&amp;gt;בית משפט לענייני משפחה בתל אביב -יפו&amp;lt;/CourtDisplayName&amp;gt;_x000d__x000a_        &amp;lt;IsAllStartDataCollected&amp;gt;true&amp;lt;/IsAllStartDataCollected&amp;gt;_x000d__x000a_        &amp;lt;IsMainCase&amp;gt;false&amp;lt;/IsMainCase&amp;gt;_x000d__x000a_        &amp;lt;CaseDesc /&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901573&amp;lt;/CaseID&amp;gt;_x000d__x000a_        &amp;lt;CaseMonth&amp;gt;1&amp;lt;/CaseMonth&amp;gt;_x000d__x000a_        &amp;lt;CaseYear&amp;gt;2024&amp;lt;/CaseYear&amp;gt;_x000d__x000a_        &amp;lt;CaseNumber&amp;gt;27197&amp;lt;/CaseNumber&amp;gt;_x000d__x000a_        &amp;lt;NumeratorGroupID&amp;gt;1&amp;lt;/NumeratorGroupID&amp;gt;_x000d__x000a_        &amp;lt;CaseName&amp;gt;אלתגר נ&amp;#39; אלתגר&amp;lt;/CaseName&amp;gt;_x000d__x000a_        &amp;lt;CourtID&amp;gt;33&amp;lt;/CourtID&amp;gt;_x000d__x000a_        &amp;lt;CaseTypeID&amp;gt;10262&amp;lt;/CaseTypeID&amp;gt;_x000d__x000a_        &amp;lt;CaseInterestID&amp;gt;10118&amp;lt;/CaseInterestID&amp;gt;_x000d__x000a_        &amp;lt;CaseJudgeName&amp;gt;קרן גיל&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27197-01-24&amp;lt;/CaseDisplayIdentifier&amp;gt;_x000d__x000a_        &amp;lt;CaseTypeDesc&amp;gt;תלה&amp;quot;מ&amp;lt;/CaseTypeDesc&amp;gt;_x000d__x000a_        &amp;lt;CourtDesc&amp;gt;ענייני משפחה במחוז ת&amp;quot;א&amp;lt;/CourtDesc&amp;gt;_x000d__x000a_        &amp;lt;CaseStageDesc&amp;gt;תיק אלקטרוני&amp;lt;/CaseStageDesc&amp;gt;_x000d__x000a_        &amp;lt;CaseNextDeterminingTask&amp;gt;140&amp;lt;/CaseNextDeterminingTask&amp;gt;_x000d__x000a_        &amp;lt;CaseOpenDate&amp;gt;2024-01-11T10:43:00+02:00&amp;lt;/CaseOpenDate&amp;gt;_x000d__x000a_        &amp;lt;PleaTypeID&amp;gt;4&amp;lt;/PleaTypeID&amp;gt;_x000d__x000a_        &amp;lt;CourtLevelID&amp;gt;1&amp;lt;/CourtLevelID&amp;gt;_x000d__x000a_        &amp;lt;CourtLevelCaseTypeInterestID&amp;gt;1599&amp;lt;/CourtLevelCaseTypeInterestID&amp;gt;_x000d__x000a_        &amp;lt;CaseJudgeFirstName&amp;gt;קרן&amp;lt;/CaseJudgeFirstName&amp;gt;_x000d__x000a_        &amp;lt;CaseJudgeLastName&amp;gt;גיל&amp;lt;/CaseJudgeLastName&amp;gt;_x000d__x000a_        &amp;lt;JudicalPersonID&amp;gt;038331781@GOV.IL&amp;lt;/JudicalPersonID&amp;gt;_x000d__x000a_        &amp;lt;IsJudicalPanel&amp;gt;false&amp;lt;/IsJudicalPanel&amp;gt;_x000d__x000a_        &amp;lt;CourtDisplayName&amp;gt;בית משפט לענייני משפחה בתל אביב -יפו&amp;lt;/CourtDisplayName&amp;gt;_x000d__x000a_        &amp;lt;IsAllStartDataCollected&amp;gt;true&amp;lt;/IsAllStartDataCollected&amp;gt;_x000d__x000a_        &amp;lt;IsMainCase&amp;gt;false&amp;lt;/IsMainCase&amp;gt;_x000d__x000a_        &amp;lt;CaseDesc /&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3"/>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3176635&amp;lt;/DecisionID&amp;gt;_x000d__x000a_        &amp;lt;DecisionName&amp;gt;החלטה  שניתנה ע&amp;quot;י  קרן גיל&amp;lt;/DecisionName&amp;gt;_x000d__x000a_        &amp;lt;DecisionStatusID&amp;gt;1&amp;lt;/DecisionStatusID&amp;gt;_x000d__x000a_        &amp;lt;DecisionStatusChangeDate&amp;gt;2024-08-01T01:58:49.187+03:00&amp;lt;/DecisionStatusChangeDate&amp;gt;_x000d__x000a_        &amp;lt;DecisionSignatureDate&amp;gt;2024-08-01T01:56:11.083+03:00&amp;lt;/DecisionSignatureDate&amp;gt;_x000d__x000a_        &amp;lt;DecisionSignatureUserID&amp;gt;038331781@GOV.IL&amp;lt;/DecisionSignatureUserID&amp;gt;_x000d__x000a_        &amp;lt;DecisionCreateDate&amp;gt;2024-08-01T01:58:49.11+03:00&amp;lt;/DecisionCreateDate&amp;gt;_x000d__x000a_        &amp;lt;DecisionChangeDate&amp;gt;2024-08-01T01:58:49.42+03:00&amp;lt;/DecisionChangeDate&amp;gt;_x000d__x000a_        &amp;lt;DecisionChangeUserID&amp;gt;038331781@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50325666&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8331781@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8331781@GOV.IL&amp;lt;/DecisionCreationUserID&amp;gt;_x000d__x000a_        &amp;lt;DecisionDisplayName&amp;gt;החלטה  שניתנה ע&amp;quot;י  קרן גיל&amp;lt;/DecisionDisplayName&amp;gt;_x000d__x000a_        &amp;lt;IsScanned&amp;gt;false&amp;lt;/IsScanned&amp;gt;_x000d__x000a_        &amp;lt;DecisionSignatureUserName&amp;gt;קרן גיל&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31&amp;lt;/DecisionNumberInCase&amp;gt;_x000d__x000a_      &amp;lt;/dt_Decision&amp;gt;_x000d__x000a_      &amp;lt;dt_DecisionCase diffgr:id=&amp;quot;dt_DecisionCase1&amp;quot; msdata:rowOrder=&amp;quot;0&amp;quot;&amp;gt;_x000d__x000a_        &amp;lt;DecisionID&amp;gt;153176635&amp;lt;/DecisionID&amp;gt;_x000d__x000a_        &amp;lt;CaseID&amp;gt;80901573&amp;lt;/CaseID&amp;gt;_x000d__x000a_        &amp;lt;IsOriginal&amp;gt;true&amp;lt;/IsOriginal&amp;gt;_x000d__x000a_        &amp;lt;IsDeleted&amp;gt;false&amp;lt;/IsDeleted&amp;gt;_x000d__x000a_        &amp;lt;CaseName&amp;gt;אלתגר נ&amp;#39; אלתגר&amp;lt;/CaseName&amp;gt;_x000d__x000a_        &amp;lt;CaseDisplayIdentifier&amp;gt;27197-01-24 תלה&amp;quot;מ&amp;lt;/CaseDisplayIdentifier&amp;gt;_x000d__x000a_      &amp;lt;/dt_DecisionCase&amp;gt;_x000d__x000a_    &amp;lt;/DecisionDS&amp;gt;_x000d__x000a_  &amp;lt;/diffgr:diffgram&amp;gt;_x000d__x000a_&amp;lt;/DecisionDS&amp;gt;"/>
    <w:docVar w:name="DecisionID" w:val="153176635"/>
    <w:docVar w:name="WordClientAssemblyName" w:val="NGCS.Decision.ClientWordBL"/>
    <w:docVar w:name="WordClientClassName" w:val="NGCS.Decision.ClientWordBL.DecisionClient"/>
  </w:docVars>
  <w:rsids>
    <w:rsidRoot w:val="002914D6"/>
    <w:rsid w:val="00011212"/>
    <w:rsid w:val="00094813"/>
    <w:rsid w:val="0014058F"/>
    <w:rsid w:val="001931FD"/>
    <w:rsid w:val="001E0EB7"/>
    <w:rsid w:val="00242BA8"/>
    <w:rsid w:val="002914D6"/>
    <w:rsid w:val="002F5307"/>
    <w:rsid w:val="003C2B44"/>
    <w:rsid w:val="003C669B"/>
    <w:rsid w:val="00503A57"/>
    <w:rsid w:val="00530E94"/>
    <w:rsid w:val="00577B9D"/>
    <w:rsid w:val="005C7F45"/>
    <w:rsid w:val="005F5CE1"/>
    <w:rsid w:val="006C0524"/>
    <w:rsid w:val="007139C9"/>
    <w:rsid w:val="007911C0"/>
    <w:rsid w:val="007A2F62"/>
    <w:rsid w:val="00822AA5"/>
    <w:rsid w:val="00841831"/>
    <w:rsid w:val="00946045"/>
    <w:rsid w:val="00965854"/>
    <w:rsid w:val="009B12CE"/>
    <w:rsid w:val="009E0C15"/>
    <w:rsid w:val="00A54660"/>
    <w:rsid w:val="00A7089E"/>
    <w:rsid w:val="00A7661B"/>
    <w:rsid w:val="00A917F0"/>
    <w:rsid w:val="00B31305"/>
    <w:rsid w:val="00C226D6"/>
    <w:rsid w:val="00C71034"/>
    <w:rsid w:val="00CE7F78"/>
    <w:rsid w:val="00D32D8E"/>
    <w:rsid w:val="00DC5C86"/>
    <w:rsid w:val="00DD046B"/>
    <w:rsid w:val="00E407CC"/>
    <w:rsid w:val="00E811F7"/>
    <w:rsid w:val="00EC08AF"/>
    <w:rsid w:val="00EC560E"/>
    <w:rsid w:val="00F50E07"/>
    <w:rsid w:val="00F76CF6"/>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B080795-B35A-4724-886A-2E62E01679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paragraph" w:styleId="ac">
    <w:name w:val="List Paragraph"/>
    <w:basedOn w:val="a"/>
    <w:uiPriority w:val="34"/>
    <w:qFormat/>
    <w:rsid w:val="005C7F4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9943965">
      <w:bodyDiv w:val="1"/>
      <w:marLeft w:val="0"/>
      <w:marRight w:val="0"/>
      <w:marTop w:val="0"/>
      <w:marBottom w:val="0"/>
      <w:divBdr>
        <w:top w:val="none" w:sz="0" w:space="0" w:color="auto"/>
        <w:left w:val="none" w:sz="0" w:space="0" w:color="auto"/>
        <w:bottom w:val="none" w:sz="0" w:space="0" w:color="auto"/>
        <w:right w:val="none" w:sz="0" w:space="0" w:color="auto"/>
      </w:divBdr>
    </w:div>
    <w:div w:id="709764876">
      <w:bodyDiv w:val="1"/>
      <w:marLeft w:val="0"/>
      <w:marRight w:val="0"/>
      <w:marTop w:val="0"/>
      <w:marBottom w:val="0"/>
      <w:divBdr>
        <w:top w:val="none" w:sz="0" w:space="0" w:color="auto"/>
        <w:left w:val="none" w:sz="0" w:space="0" w:color="auto"/>
        <w:bottom w:val="none" w:sz="0" w:space="0" w:color="auto"/>
        <w:right w:val="none" w:sz="0" w:space="0" w:color="auto"/>
      </w:divBdr>
    </w:div>
    <w:div w:id="796529050">
      <w:bodyDiv w:val="1"/>
      <w:marLeft w:val="0"/>
      <w:marRight w:val="0"/>
      <w:marTop w:val="0"/>
      <w:marBottom w:val="0"/>
      <w:divBdr>
        <w:top w:val="none" w:sz="0" w:space="0" w:color="auto"/>
        <w:left w:val="none" w:sz="0" w:space="0" w:color="auto"/>
        <w:bottom w:val="none" w:sz="0" w:space="0" w:color="auto"/>
        <w:right w:val="none" w:sz="0" w:space="0" w:color="auto"/>
      </w:divBdr>
    </w:div>
    <w:div w:id="808740455">
      <w:bodyDiv w:val="1"/>
      <w:marLeft w:val="0"/>
      <w:marRight w:val="0"/>
      <w:marTop w:val="0"/>
      <w:marBottom w:val="0"/>
      <w:divBdr>
        <w:top w:val="none" w:sz="0" w:space="0" w:color="auto"/>
        <w:left w:val="none" w:sz="0" w:space="0" w:color="auto"/>
        <w:bottom w:val="none" w:sz="0" w:space="0" w:color="auto"/>
        <w:right w:val="none" w:sz="0" w:space="0" w:color="auto"/>
      </w:divBdr>
    </w:div>
    <w:div w:id="896550535">
      <w:bodyDiv w:val="1"/>
      <w:marLeft w:val="0"/>
      <w:marRight w:val="0"/>
      <w:marTop w:val="0"/>
      <w:marBottom w:val="0"/>
      <w:divBdr>
        <w:top w:val="none" w:sz="0" w:space="0" w:color="auto"/>
        <w:left w:val="none" w:sz="0" w:space="0" w:color="auto"/>
        <w:bottom w:val="none" w:sz="0" w:space="0" w:color="auto"/>
        <w:right w:val="none" w:sz="0" w:space="0" w:color="auto"/>
      </w:divBdr>
    </w:div>
    <w:div w:id="900017134">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802845715">
      <w:bodyDiv w:val="1"/>
      <w:marLeft w:val="0"/>
      <w:marRight w:val="0"/>
      <w:marTop w:val="0"/>
      <w:marBottom w:val="0"/>
      <w:divBdr>
        <w:top w:val="none" w:sz="0" w:space="0" w:color="auto"/>
        <w:left w:val="none" w:sz="0" w:space="0" w:color="auto"/>
        <w:bottom w:val="none" w:sz="0" w:space="0" w:color="auto"/>
        <w:right w:val="none" w:sz="0" w:space="0" w:color="auto"/>
      </w:divBdr>
    </w:div>
    <w:div w:id="1847286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80901573</CaseID>
    <CaseJudicialPersonPresentationDS>
      <CaseJudicalPersonActive>
        <CaseID>80901573</CaseID>
        <JudicialPersonID>038331781@GOV.IL</JudicialPersonID>
        <JudicialPersonTypeID>1</JudicialPersonTypeID>
        <JudicialTypeID>1</JudicialTypeID>
        <IsChairman>false</IsChairman>
        <TreatmentStartDate>2024-01-11T11:13:11.91+02:00</TreatmentStartDate>
        <TreatmentFinishDate>9999-12-31T23:59:59+02:00</TreatmentFinishDate>
        <IdentificationCardNumber>038331781</IdentificationCardNumber>
        <DisplayName>קרן גיל</DisplayName>
        <JudicialTypeName>שופט</JudicialTypeName>
        <CaseJudicialGroupNumber>0</CaseJudicialGroupNumber>
        <FirstName>קרן</FirstName>
        <LastName>גיל</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רוברט ליכט פטרן</FullName>
        <FirstName>רוברט</FirstName>
        <LastName>ליכט פטרן</LastName>
        <PartyPropertyName/>
        <AuthenticationTypeAndNumber>מ.ר. 25447</AuthenticationTypeAndNumber>
        <RepresentatedOrRepresentativesNames>גיא אלתגר</RepresentatedOrRepresentativesNames>
        <RepresentatedOrRepresentativesCount>1</RepresentatedOrRepresentativesCount>
        <InvitedBy/>
        <CaseID>80901573</CaseID>
        <CaseJudicialPersonPresentationDS>
          <CaseJudicalPersonActive>
            <CaseID>80901573</CaseID>
            <JudicialPersonID>038331781@GOV.IL</JudicialPersonID>
            <JudicialPersonTypeID>1</JudicialPersonTypeID>
            <JudicialTypeID>1</JudicialTypeID>
            <IsChairman>false</IsChairman>
            <TreatmentStartDate>2024-01-11T11:13:11.91+02:00</TreatmentStartDate>
            <TreatmentFinishDate>9999-12-31T23:59:59+02:00</TreatmentFinishDate>
            <IdentificationCardNumber>038331781</IdentificationCardNumber>
            <DisplayName>קרן גיל</DisplayName>
            <JudicialTypeName>שופט</JudicialTypeName>
            <CaseJudicialGroupNumber>0</CaseJudicialGroupNumber>
            <FirstName>קרן</FirstName>
            <LastName>גיל</LastName>
            <JudicialPersonTitle>שופט</JudicialPersonTitle>
          </CaseJudicalPersonActive>
        </CaseJudicialPersonPresentationDS>
        <CasePartyID>265105340</CasePartyID>
        <PartyTypeID>2</PartyTypeID>
        <ActivityStatusID>1</ActivityStatusID>
        <PartyAliasID>21</PartyAliasID>
        <PartyAliasName>בא כוח נתבעים</PartyAliasName>
        <LegalEntityID>402629</LegalEntityID>
        <CaseLegalEntityID>127402685</CaseLegalEntityID>
        <AuthenticationTypeID>4</AuthenticationTypeID>
        <AuthenticationTypeName>מ.ר.</AuthenticationTypeName>
        <LegalEntityNumber>25447</LegalEntityNumber>
        <IsMainPartyType>true</IsMainPartyType>
        <CaseDisplayIdentifier>27197-01-24</CaseDisplayIdentifier>
        <CaseTypeID>10262</CaseTypeID>
        <CaseTypeName>תביעה לאחר הסדר התדיינויות במשפחה (תלה"מ)</CaseTypeName>
        <CaseName>אלתגר נ' אלתגר</CaseName>
        <FullAddress>ויסוצקי 14 תל אביב -יפו 62338</FullAddress>
        <EmailAddress>reut@lp-lawoffice.co.il</EmailAddress>
        <MotionID>0</MotionID>
        <CasePleaID>0</CasePleaID>
        <LinkedCaseID>0</LinkedCaseID>
        <PartyID>2</PartyID>
        <CasePartyCategoryID>2</CasePartyCategoryID>
        <LegalEntityAddressID>80438702</LegalEntityAddressID>
        <LegalEntityEmailAddressID>68181856</LegalEntityEmailAddressID>
        <PleaTypeID>4</PleaTypeID>
        <LawyerOfficeName>משרד עו"ד: רוברט ליכט פטרן</LawyerOfficeName>
        <LawyerOfficeID>443273</LawyerOfficeID>
        <GroupPartyAlias/>
        <IsConverted>false</IsConverted>
        <LegalEntityNameID>23613</LegalEntityNameID>
        <RepresentatedNamesOfAssistant/>
        <LegalEntityTypeID>4</LegalEntityTypeID>
        <IsVerdictExists>false</IsVerdictExists>
        <IsAsirAzir>false</IsAsirAzir>
        <MainAndSecSpec/>
        <IsPublicationProhibited>false</IsPublicationProhibited>
        <PublicationProhibitedFullName>רוברט ליכט פטרן</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ענת אלתגר</FullName>
        <FirstName>ענת אסטריה</FirstName>
        <LastName>אלתגר</LastName>
        <PartyPropertyName/>
        <AuthenticationTypeAndNumber>ת"ז 065949240</AuthenticationTypeAndNumber>
        <RepresentatedOrRepresentativesNames>טליה פרדו קופלמן</RepresentatedOrRepresentativesNames>
        <RepresentatedOrRepresentativesCount>1</RepresentatedOrRepresentativesCount>
        <InvitedBy/>
        <CaseID>80901573</CaseID>
        <CaseJudicialPersonPresentationDS>
          <CaseJudicalPersonActive>
            <CaseID>80901573</CaseID>
            <JudicialPersonID>038331781@GOV.IL</JudicialPersonID>
            <JudicialPersonTypeID>1</JudicialPersonTypeID>
            <JudicialTypeID>1</JudicialTypeID>
            <IsChairman>false</IsChairman>
            <TreatmentStartDate>2024-01-11T11:13:11.91+02:00</TreatmentStartDate>
            <TreatmentFinishDate>9999-12-31T23:59:59+02:00</TreatmentFinishDate>
            <IdentificationCardNumber>038331781</IdentificationCardNumber>
            <DisplayName>קרן גיל</DisplayName>
            <JudicialTypeName>שופט</JudicialTypeName>
            <CaseJudicialGroupNumber>0</CaseJudicialGroupNumber>
            <FirstName>קרן</FirstName>
            <LastName>גיל</LastName>
            <JudicialPersonTitle>שופט</JudicialPersonTitle>
          </CaseJudicalPersonActive>
        </CaseJudicialPersonPresentationDS>
        <CasePartyID>264861176</CasePartyID>
        <PartyTypeID>1</PartyTypeID>
        <ActivityStatusID>1</ActivityStatusID>
        <PartyAliasID>1</PartyAliasID>
        <PartyAliasName>תובע</PartyAliasName>
        <OrdinalNumber>1</OrdinalNumber>
        <LegalEntityID>70897197</LegalEntityID>
        <CaseLegalEntityID>127331722</CaseLegalEntityID>
        <AuthenticationTypeID>1</AuthenticationTypeID>
        <AuthenticationTypeName>ת"ז</AuthenticationTypeName>
        <LegalEntityNumber>065949240</LegalEntityNumber>
        <IsMainPartyType>true</IsMainPartyType>
        <CaseDisplayIdentifier>27197-01-24</CaseDisplayIdentifier>
        <CaseTypeID>10262</CaseTypeID>
        <CaseTypeName>תביעה לאחר הסדר התדיינויות במשפחה (תלה"מ)</CaseTypeName>
        <CaseName>אלתגר נ' אלתגר</CaseName>
        <FullAddress>הרב עוזיאל 4 תל אביב -יפו </FullAddress>
        <MotionID>0</MotionID>
        <CasePleaID>0</CasePleaID>
        <FatherName>יעקב</FatherName>
        <LinkedCaseID>0</LinkedCaseID>
        <PartyID>1</PartyID>
        <CasePartyCategoryID>2</CasePartyCategoryID>
        <LegalEntityAddressID>88826000</LegalEntityAddressID>
        <PleaTypeID>4</PleaTypeID>
        <GroupPartyAlias>תובעים</GroupPartyAlias>
        <IsConverted>false</IsConverted>
        <LegalEntityRegisteredNameID>9124934</LegalEntityRegisteredNameID>
        <LegalEntityNameID>95985731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ענת אלתגר</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טליה פרדו קופלמן</FullName>
        <FirstName>טליה</FirstName>
        <LastName>פרדו קופלמן</LastName>
        <PartyPropertyName/>
        <AuthenticationTypeAndNumber>מ.ר. 11432</AuthenticationTypeAndNumber>
        <RepresentatedOrRepresentativesNames>ענת אלתגר</RepresentatedOrRepresentativesNames>
        <RepresentatedOrRepresentativesCount>1</RepresentatedOrRepresentativesCount>
        <InvitedBy/>
        <CaseID>80901573</CaseID>
        <CaseJudicialPersonPresentationDS>
          <CaseJudicalPersonActive>
            <CaseID>80901573</CaseID>
            <JudicialPersonID>038331781@GOV.IL</JudicialPersonID>
            <JudicialPersonTypeID>1</JudicialPersonTypeID>
            <JudicialTypeID>1</JudicialTypeID>
            <IsChairman>false</IsChairman>
            <TreatmentStartDate>2024-01-11T11:13:11.91+02:00</TreatmentStartDate>
            <TreatmentFinishDate>9999-12-31T23:59:59+02:00</TreatmentFinishDate>
            <IdentificationCardNumber>038331781</IdentificationCardNumber>
            <DisplayName>קרן גיל</DisplayName>
            <JudicialTypeName>שופט</JudicialTypeName>
            <CaseJudicialGroupNumber>0</CaseJudicialGroupNumber>
            <FirstName>קרן</FirstName>
            <LastName>גיל</LastName>
            <JudicialPersonTitle>שופט</JudicialPersonTitle>
          </CaseJudicalPersonActive>
        </CaseJudicialPersonPresentationDS>
        <CasePartyID>264861177</CasePartyID>
        <PartyTypeID>2</PartyTypeID>
        <ActivityStatusID>1</ActivityStatusID>
        <PartyAliasID>20</PartyAliasID>
        <PartyAliasName>בא כוח תובעים</PartyAliasName>
        <OrdinalNumber>1</OrdinalNumber>
        <LegalEntityID>382801</LegalEntityID>
        <CaseLegalEntityID>127331723</CaseLegalEntityID>
        <AuthenticationTypeID>4</AuthenticationTypeID>
        <AuthenticationTypeName>מ.ר.</AuthenticationTypeName>
        <LegalEntityNumber>11432</LegalEntityNumber>
        <IsMainPartyType>true</IsMainPartyType>
        <CaseDisplayIdentifier>27197-01-24</CaseDisplayIdentifier>
        <CaseTypeID>10262</CaseTypeID>
        <CaseTypeName>תביעה לאחר הסדר התדיינויות במשפחה (תלה"מ)</CaseTypeName>
        <CaseName>אלתגר נ' אלתגר</CaseName>
        <FullAddress>מנחם בגין 7 רמת גן בית גיבור ספורט</FullAddress>
        <EmailAddress>talia@kopa-law.com</EmailAddress>
        <MotionID>0</MotionID>
        <CasePleaID>0</CasePleaID>
        <LinkedCaseID>0</LinkedCaseID>
        <PartyID>1</PartyID>
        <CasePartyCategoryID>2</CasePartyCategoryID>
        <LegalEntityAddressID>83818825</LegalEntityAddressID>
        <LegalEntityEmailAddressID>68408639</LegalEntityEmailAddressID>
        <PleaTypeID>4</PleaTypeID>
        <LawyerOfficeName>משרד עו"ד: טליה פרדו קופלמן</LawyerOfficeName>
        <LawyerOfficeID>423445</LawyerOfficeID>
        <GroupPartyAlias/>
        <IsConverted>false</IsConverted>
        <LegalEntityNameID>75530064</LegalEntityNameID>
        <RepresentatedNamesOfAssistant/>
        <LegalEntityTypeID>4</LegalEntityTypeID>
        <IsVerdictExists>false</IsVerdictExists>
        <IsAsirAzir>false</IsAsirAzir>
        <MainAndSecSpec/>
        <IsPublicationProhibited>false</IsPublicationProhibited>
        <PublicationProhibitedFullName>טליה פרדו קופלמן</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גיא אלתגר</FullName>
        <FirstName>גיא</FirstName>
        <LastName>אלתגר</LastName>
        <PartyPropertyName/>
        <AuthenticationTypeAndNumber>ת"ז 037202249</AuthenticationTypeAndNumber>
        <RepresentatedOrRepresentativesNames>רוברט ליכט פטרן</RepresentatedOrRepresentativesNames>
        <RepresentatedOrRepresentativesCount>1</RepresentatedOrRepresentativesCount>
        <InvitedBy/>
        <CaseID>80901573</CaseID>
        <CaseJudicialPersonPresentationDS>
          <CaseJudicalPersonActive>
            <CaseID>80901573</CaseID>
            <JudicialPersonID>038331781@GOV.IL</JudicialPersonID>
            <JudicialPersonTypeID>1</JudicialPersonTypeID>
            <JudicialTypeID>1</JudicialTypeID>
            <IsChairman>false</IsChairman>
            <TreatmentStartDate>2024-01-11T11:13:11.91+02:00</TreatmentStartDate>
            <TreatmentFinishDate>9999-12-31T23:59:59+02:00</TreatmentFinishDate>
            <IdentificationCardNumber>038331781</IdentificationCardNumber>
            <DisplayName>קרן גיל</DisplayName>
            <JudicialTypeName>שופט</JudicialTypeName>
            <CaseJudicialGroupNumber>0</CaseJudicialGroupNumber>
            <FirstName>קרן</FirstName>
            <LastName>גיל</LastName>
            <JudicialPersonTitle>שופט</JudicialPersonTitle>
          </CaseJudicalPersonActive>
        </CaseJudicialPersonPresentationDS>
        <CasePartyID>264861178</CasePartyID>
        <PartyTypeID>1</PartyTypeID>
        <ActivityStatusID>1</ActivityStatusID>
        <PartyAliasID>2</PartyAliasID>
        <PartyAliasName>נתבע</PartyAliasName>
        <OrdinalNumber>1</OrdinalNumber>
        <LegalEntityID>2463965</LegalEntityID>
        <CaseLegalEntityID>127331724</CaseLegalEntityID>
        <AuthenticationTypeID>1</AuthenticationTypeID>
        <AuthenticationTypeName>ת"ז</AuthenticationTypeName>
        <LegalEntityNumber>037202249</LegalEntityNumber>
        <IsMainPartyType>true</IsMainPartyType>
        <CaseDisplayIdentifier>27197-01-24</CaseDisplayIdentifier>
        <CaseTypeID>10262</CaseTypeID>
        <CaseTypeName>תביעה לאחר הסדר התדיינויות במשפחה (תלה"מ)</CaseTypeName>
        <CaseName>אלתגר נ' אלתגר</CaseName>
        <FullAddress>הרב עוזיאל 4 תל אביב -יפו </FullAddress>
        <MotionID>0</MotionID>
        <CasePleaID>0</CasePleaID>
        <FatherName>רענן</FatherName>
        <LinkedCaseID>0</LinkedCaseID>
        <PartyID>2</PartyID>
        <CasePartyCategoryID>2</CasePartyCategoryID>
        <LegalEntityAddressID>88826001</LegalEntityAddressID>
        <PleaTypeID>4</PleaTypeID>
        <GroupPartyAlias>נתבעים</GroupPartyAlias>
        <IsConverted>false</IsConverted>
        <LegalEntityRegisteredNameID>357490</LegalEntityRegisteredNameID>
        <LegalEntityNameID>95985732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גיא אלתגר</PublicationProhibitedFullName>
      </CaseParties>
    </CasePartiesSelectionDS>
    <DecisionName>החלטה  שניתנה ע"י  קרן גיל</DecisionName>
    <CourtDisplayName>בית משפט לענייני משפחה בתל אביב -יפו</CourtDisplayName>
    <IsCaseJudgePanel>false</IsCaseJudgePanel>
    <DecisionSignatureDate>2024-08-01T01:56:11.0837841+03:00</DecisionSignatureDate>
    <OpenCaseDate>2024-01-11T10:43:00+02:00</OpenCaseDate>
    <CaseFeeSum>0.000</CaseFeeSum>
    <DecisionTypeID>1</DecisionTypeID>
    <DecisionSignatureUserName>קרן גיל</DecisionSignatureUserName>
    <DecisionSignatureDateHebrew>2024-08-01T01:56:11.0837841+03:00</DecisionSignatureDateHebrew>
    <DecisionWriterID>038331781@GOV.IL</DecisionWriterID>
    <CourtAddress>רח' ויצמן 1, תל אביב -יפו 64239</CourtAddress>
    <IsAutoTextInCaseExist>false</IsAutoTextInCaseExist>
    <DecisionSignatureRoleName>שופט</DecisionSignatureRoleName>
    <DecisionSignatureUserTitleName>שופטת</DecisionSignatureUserTitleName>
    <CaseName>אלתגר נ' אלתגר</CaseName>
    <DecisionNumberInCase>31</DecisionNumberInCase>
  </dt_Decision>
  <dt_DecisionCase>
    <DecisionID>0</DecisionID>
    <CaseID>80901573</CaseID>
    <CaseJudicialPersonPresentationDS>
      <CaseJudicalPersonActive>
        <CaseID>80901573</CaseID>
        <JudicialPersonID>038331781@GOV.IL</JudicialPersonID>
        <JudicialPersonTypeID>1</JudicialPersonTypeID>
        <JudicialTypeID>1</JudicialTypeID>
        <IsChairman>false</IsChairman>
        <TreatmentStartDate>2024-01-11T11:13:11.91+02:00</TreatmentStartDate>
        <TreatmentFinishDate>9999-12-31T23:59:59+02:00</TreatmentFinishDate>
        <IdentificationCardNumber>038331781</IdentificationCardNumber>
        <DisplayName>קרן גיל</DisplayName>
        <JudicialTypeName>שופט</JudicialTypeName>
        <CaseJudicialGroupNumber>0</CaseJudicialGroupNumber>
        <FirstName>קרן</FirstName>
        <LastName>גיל</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רוברט ליכט פטרן</FullName>
        <FirstName>רוברט</FirstName>
        <LastName>ליכט פטרן</LastName>
        <PartyPropertyName/>
        <AuthenticationTypeAndNumber>מ.ר. 25447</AuthenticationTypeAndNumber>
        <RepresentatedOrRepresentativesNames>גיא אלתגר</RepresentatedOrRepresentativesNames>
        <RepresentatedOrRepresentativesCount>1</RepresentatedOrRepresentativesCount>
        <InvitedBy/>
        <CaseID>80901573</CaseID>
        <CaseJudicialPersonPresentationDS>
          <CaseJudicalPersonActive>
            <CaseID>80901573</CaseID>
            <JudicialPersonID>038331781@GOV.IL</JudicialPersonID>
            <JudicialPersonTypeID>1</JudicialPersonTypeID>
            <JudicialTypeID>1</JudicialTypeID>
            <IsChairman>false</IsChairman>
            <TreatmentStartDate>2024-01-11T11:13:11.91+02:00</TreatmentStartDate>
            <TreatmentFinishDate>9999-12-31T23:59:59+02:00</TreatmentFinishDate>
            <IdentificationCardNumber>038331781</IdentificationCardNumber>
            <DisplayName>קרן גיל</DisplayName>
            <JudicialTypeName>שופט</JudicialTypeName>
            <CaseJudicialGroupNumber>0</CaseJudicialGroupNumber>
            <FirstName>קרן</FirstName>
            <LastName>גיל</LastName>
            <JudicialPersonTitle>שופט</JudicialPersonTitle>
          </CaseJudicalPersonActive>
        </CaseJudicialPersonPresentationDS>
        <CasePartyID>265105340</CasePartyID>
        <PartyTypeID>2</PartyTypeID>
        <ActivityStatusID>1</ActivityStatusID>
        <PartyAliasID>21</PartyAliasID>
        <PartyAliasName>בא כוח נתבעים</PartyAliasName>
        <LegalEntityID>402629</LegalEntityID>
        <CaseLegalEntityID>127402685</CaseLegalEntityID>
        <AuthenticationTypeID>4</AuthenticationTypeID>
        <AuthenticationTypeName>מ.ר.</AuthenticationTypeName>
        <LegalEntityNumber>25447</LegalEntityNumber>
        <IsMainPartyType>true</IsMainPartyType>
        <CaseDisplayIdentifier>27197-01-24</CaseDisplayIdentifier>
        <CaseTypeID>10262</CaseTypeID>
        <CaseTypeName>תביעה לאחר הסדר התדיינויות במשפחה (תלה"מ)</CaseTypeName>
        <CaseName>אלתגר נ' אלתגר</CaseName>
        <FullAddress>ויסוצקי 14 תל אביב -יפו 62338</FullAddress>
        <EmailAddress>reut@lp-lawoffice.co.il</EmailAddress>
        <MotionID>0</MotionID>
        <CasePleaID>0</CasePleaID>
        <LinkedCaseID>0</LinkedCaseID>
        <PartyID>2</PartyID>
        <CasePartyCategoryID>2</CasePartyCategoryID>
        <LegalEntityAddressID>80438702</LegalEntityAddressID>
        <LegalEntityEmailAddressID>68181856</LegalEntityEmailAddressID>
        <PleaTypeID>4</PleaTypeID>
        <LawyerOfficeName>משרד עו"ד: רוברט ליכט פטרן</LawyerOfficeName>
        <LawyerOfficeID>443273</LawyerOfficeID>
        <GroupPartyAlias/>
        <IsConverted>false</IsConverted>
        <LegalEntityNameID>23613</LegalEntityNameID>
        <RepresentatedNamesOfAssistant/>
        <LegalEntityTypeID>4</LegalEntityTypeID>
        <IsVerdictExists>false</IsVerdictExists>
        <IsAsirAzir>false</IsAsirAzir>
        <MainAndSecSpec/>
        <IsPublicationProhibited>false</IsPublicationProhibited>
        <PublicationProhibitedFullName>רוברט ליכט פטרן</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ענת אלתגר</FullName>
        <FirstName>ענת אסטריה</FirstName>
        <LastName>אלתגר</LastName>
        <PartyPropertyName/>
        <AuthenticationTypeAndNumber>ת"ז 065949240</AuthenticationTypeAndNumber>
        <RepresentatedOrRepresentativesNames>טליה פרדו קופלמן</RepresentatedOrRepresentativesNames>
        <RepresentatedOrRepresentativesCount>1</RepresentatedOrRepresentativesCount>
        <InvitedBy/>
        <CaseID>80901573</CaseID>
        <CaseJudicialPersonPresentationDS>
          <CaseJudicalPersonActive>
            <CaseID>80901573</CaseID>
            <JudicialPersonID>038331781@GOV.IL</JudicialPersonID>
            <JudicialPersonTypeID>1</JudicialPersonTypeID>
            <JudicialTypeID>1</JudicialTypeID>
            <IsChairman>false</IsChairman>
            <TreatmentStartDate>2024-01-11T11:13:11.91+02:00</TreatmentStartDate>
            <TreatmentFinishDate>9999-12-31T23:59:59+02:00</TreatmentFinishDate>
            <IdentificationCardNumber>038331781</IdentificationCardNumber>
            <DisplayName>קרן גיל</DisplayName>
            <JudicialTypeName>שופט</JudicialTypeName>
            <CaseJudicialGroupNumber>0</CaseJudicialGroupNumber>
            <FirstName>קרן</FirstName>
            <LastName>גיל</LastName>
            <JudicialPersonTitle>שופט</JudicialPersonTitle>
          </CaseJudicalPersonActive>
        </CaseJudicialPersonPresentationDS>
        <CasePartyID>264861176</CasePartyID>
        <PartyTypeID>1</PartyTypeID>
        <ActivityStatusID>1</ActivityStatusID>
        <PartyAliasID>1</PartyAliasID>
        <PartyAliasName>תובע</PartyAliasName>
        <OrdinalNumber>1</OrdinalNumber>
        <LegalEntityID>70897197</LegalEntityID>
        <CaseLegalEntityID>127331722</CaseLegalEntityID>
        <AuthenticationTypeID>1</AuthenticationTypeID>
        <AuthenticationTypeName>ת"ז</AuthenticationTypeName>
        <LegalEntityNumber>065949240</LegalEntityNumber>
        <IsMainPartyType>true</IsMainPartyType>
        <CaseDisplayIdentifier>27197-01-24</CaseDisplayIdentifier>
        <CaseTypeID>10262</CaseTypeID>
        <CaseTypeName>תביעה לאחר הסדר התדיינויות במשפחה (תלה"מ)</CaseTypeName>
        <CaseName>אלתגר נ' אלתגר</CaseName>
        <FullAddress>הרב עוזיאל 4 תל אביב -יפו </FullAddress>
        <MotionID>0</MotionID>
        <CasePleaID>0</CasePleaID>
        <FatherName>יעקב</FatherName>
        <LinkedCaseID>0</LinkedCaseID>
        <PartyID>1</PartyID>
        <CasePartyCategoryID>2</CasePartyCategoryID>
        <LegalEntityAddressID>88826000</LegalEntityAddressID>
        <PleaTypeID>4</PleaTypeID>
        <GroupPartyAlias>תובעים</GroupPartyAlias>
        <IsConverted>false</IsConverted>
        <LegalEntityRegisteredNameID>9124934</LegalEntityRegisteredNameID>
        <LegalEntityNameID>95985731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ענת אלתגר</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טליה פרדו קופלמן</FullName>
        <FirstName>טליה</FirstName>
        <LastName>פרדו קופלמן</LastName>
        <PartyPropertyName/>
        <AuthenticationTypeAndNumber>מ.ר. 11432</AuthenticationTypeAndNumber>
        <RepresentatedOrRepresentativesNames>ענת אלתגר</RepresentatedOrRepresentativesNames>
        <RepresentatedOrRepresentativesCount>1</RepresentatedOrRepresentativesCount>
        <InvitedBy/>
        <CaseID>80901573</CaseID>
        <CaseJudicialPersonPresentationDS>
          <CaseJudicalPersonActive>
            <CaseID>80901573</CaseID>
            <JudicialPersonID>038331781@GOV.IL</JudicialPersonID>
            <JudicialPersonTypeID>1</JudicialPersonTypeID>
            <JudicialTypeID>1</JudicialTypeID>
            <IsChairman>false</IsChairman>
            <TreatmentStartDate>2024-01-11T11:13:11.91+02:00</TreatmentStartDate>
            <TreatmentFinishDate>9999-12-31T23:59:59+02:00</TreatmentFinishDate>
            <IdentificationCardNumber>038331781</IdentificationCardNumber>
            <DisplayName>קרן גיל</DisplayName>
            <JudicialTypeName>שופט</JudicialTypeName>
            <CaseJudicialGroupNumber>0</CaseJudicialGroupNumber>
            <FirstName>קרן</FirstName>
            <LastName>גיל</LastName>
            <JudicialPersonTitle>שופט</JudicialPersonTitle>
          </CaseJudicalPersonActive>
        </CaseJudicialPersonPresentationDS>
        <CasePartyID>264861177</CasePartyID>
        <PartyTypeID>2</PartyTypeID>
        <ActivityStatusID>1</ActivityStatusID>
        <PartyAliasID>20</PartyAliasID>
        <PartyAliasName>בא כוח תובעים</PartyAliasName>
        <OrdinalNumber>1</OrdinalNumber>
        <LegalEntityID>382801</LegalEntityID>
        <CaseLegalEntityID>127331723</CaseLegalEntityID>
        <AuthenticationTypeID>4</AuthenticationTypeID>
        <AuthenticationTypeName>מ.ר.</AuthenticationTypeName>
        <LegalEntityNumber>11432</LegalEntityNumber>
        <IsMainPartyType>true</IsMainPartyType>
        <CaseDisplayIdentifier>27197-01-24</CaseDisplayIdentifier>
        <CaseTypeID>10262</CaseTypeID>
        <CaseTypeName>תביעה לאחר הסדר התדיינויות במשפחה (תלה"מ)</CaseTypeName>
        <CaseName>אלתגר נ' אלתגר</CaseName>
        <FullAddress>מנחם בגין 7 רמת גן בית גיבור ספורט</FullAddress>
        <EmailAddress>talia@kopa-law.com</EmailAddress>
        <MotionID>0</MotionID>
        <CasePleaID>0</CasePleaID>
        <LinkedCaseID>0</LinkedCaseID>
        <PartyID>1</PartyID>
        <CasePartyCategoryID>2</CasePartyCategoryID>
        <LegalEntityAddressID>83818825</LegalEntityAddressID>
        <LegalEntityEmailAddressID>68408639</LegalEntityEmailAddressID>
        <PleaTypeID>4</PleaTypeID>
        <LawyerOfficeName>משרד עו"ד: טליה פרדו קופלמן</LawyerOfficeName>
        <LawyerOfficeID>423445</LawyerOfficeID>
        <GroupPartyAlias/>
        <IsConverted>false</IsConverted>
        <LegalEntityNameID>75530064</LegalEntityNameID>
        <RepresentatedNamesOfAssistant/>
        <LegalEntityTypeID>4</LegalEntityTypeID>
        <IsVerdictExists>false</IsVerdictExists>
        <IsAsirAzir>false</IsAsirAzir>
        <MainAndSecSpec/>
        <IsPublicationProhibited>false</IsPublicationProhibited>
        <PublicationProhibitedFullName>טליה פרדו קופלמן</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גיא אלתגר</FullName>
        <FirstName>גיא</FirstName>
        <LastName>אלתגר</LastName>
        <PartyPropertyName/>
        <AuthenticationTypeAndNumber>ת"ז 037202249</AuthenticationTypeAndNumber>
        <RepresentatedOrRepresentativesNames>רוברט ליכט פטרן</RepresentatedOrRepresentativesNames>
        <RepresentatedOrRepresentativesCount>1</RepresentatedOrRepresentativesCount>
        <InvitedBy/>
        <CaseID>80901573</CaseID>
        <CaseJudicialPersonPresentationDS>
          <CaseJudicalPersonActive>
            <CaseID>80901573</CaseID>
            <JudicialPersonID>038331781@GOV.IL</JudicialPersonID>
            <JudicialPersonTypeID>1</JudicialPersonTypeID>
            <JudicialTypeID>1</JudicialTypeID>
            <IsChairman>false</IsChairman>
            <TreatmentStartDate>2024-01-11T11:13:11.91+02:00</TreatmentStartDate>
            <TreatmentFinishDate>9999-12-31T23:59:59+02:00</TreatmentFinishDate>
            <IdentificationCardNumber>038331781</IdentificationCardNumber>
            <DisplayName>קרן גיל</DisplayName>
            <JudicialTypeName>שופט</JudicialTypeName>
            <CaseJudicialGroupNumber>0</CaseJudicialGroupNumber>
            <FirstName>קרן</FirstName>
            <LastName>גיל</LastName>
            <JudicialPersonTitle>שופט</JudicialPersonTitle>
          </CaseJudicalPersonActive>
        </CaseJudicialPersonPresentationDS>
        <CasePartyID>264861178</CasePartyID>
        <PartyTypeID>1</PartyTypeID>
        <ActivityStatusID>1</ActivityStatusID>
        <PartyAliasID>2</PartyAliasID>
        <PartyAliasName>נתבע</PartyAliasName>
        <OrdinalNumber>1</OrdinalNumber>
        <LegalEntityID>2463965</LegalEntityID>
        <CaseLegalEntityID>127331724</CaseLegalEntityID>
        <AuthenticationTypeID>1</AuthenticationTypeID>
        <AuthenticationTypeName>ת"ז</AuthenticationTypeName>
        <LegalEntityNumber>037202249</LegalEntityNumber>
        <IsMainPartyType>true</IsMainPartyType>
        <CaseDisplayIdentifier>27197-01-24</CaseDisplayIdentifier>
        <CaseTypeID>10262</CaseTypeID>
        <CaseTypeName>תביעה לאחר הסדר התדיינויות במשפחה (תלה"מ)</CaseTypeName>
        <CaseName>אלתגר נ' אלתגר</CaseName>
        <FullAddress>הרב עוזיאל 4 תל אביב -יפו </FullAddress>
        <MotionID>0</MotionID>
        <CasePleaID>0</CasePleaID>
        <FatherName>רענן</FatherName>
        <LinkedCaseID>0</LinkedCaseID>
        <PartyID>2</PartyID>
        <CasePartyCategoryID>2</CasePartyCategoryID>
        <LegalEntityAddressID>88826001</LegalEntityAddressID>
        <PleaTypeID>4</PleaTypeID>
        <GroupPartyAlias>נתבעים</GroupPartyAlias>
        <IsConverted>false</IsConverted>
        <LegalEntityRegisteredNameID>357490</LegalEntityRegisteredNameID>
        <LegalEntityNameID>95985732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גיא אלתגר</PublicationProhibitedFullName>
      </CaseParties>
    </CasePartiesSelectionDS>
    <CaseName>אלתגר נ' אלתגר</CaseName>
    <CaseDisplayIdentifier>27197-01-24</CaseDisplayIdentifier>
    <CaseInterestID>10118</CaseInterestID>
    <CaseTypeShortName>תלה"מ</CaseTypeShortName>
  </dt_DecisionCase>
  <dt_DecisionJudgePanel>
    <JudgeID>038331781@GOV.IL</JudgeID>
    <DisplayName>קרן גיל</DisplayName>
    <RoleName>שופט</RoleName>
    <UserTitleName>שופטת</UserTitleName>
  </dt_DecisionJudgePanel>
  <dt_LegalEntityDetails>
    <Fax>03-9744920</Fax>
    <Phone>03-9744900</Phone>
    <AddressDesc>62338</AddressDesc>
    <PartyID>2</PartyID>
    <PartyTypeID>2</PartyTypeID>
    <DecisionID>0</DecisionID>
    <StreetName>ויסוצקי 14</StreetName>
    <ZipCode>6233807</ZipCode>
    <CityName>תל אביב -יפו</CityName>
    <FullName>רוברט ליכט פטרן</FullName>
    <Email>reut@lp-lawoffice.co.il</Email>
    <IsPublicationProhibited>false</IsPublicationProhibited>
  </dt_LegalEntityDetails>
  <dt_LegalEntityDetails>
    <PartyID>1</PartyID>
    <PartyTypeID>1</PartyTypeID>
    <DecisionID>0</DecisionID>
    <StreetName>הרב עוזיאל 4</StreetName>
    <CityName>תל אביב -יפו</CityName>
    <FullName>ענת  אלתגר</FullName>
    <IsPublicationProhibited>false</IsPublicationProhibited>
  </dt_LegalEntityDetails>
  <dt_LegalEntityDetails>
    <Fax>03-5274441</Fax>
    <Phone>03-5274440</Phone>
    <AddressDesc>בית גיבור ספורט</AddressDesc>
    <PartyID>1</PartyID>
    <PartyTypeID>2</PartyTypeID>
    <DecisionID>0</DecisionID>
    <StreetName>מנחם בגין 7</StreetName>
    <ZipCode>5268102</ZipCode>
    <CityName>רמת גן</CityName>
    <FullName>טליה פרדו קופלמן</FullName>
    <Email>talia@kopa-law.com</Email>
    <IsPublicationProhibited>false</IsPublicationProhibited>
  </dt_LegalEntityDetails>
  <dt_LegalEntityDetails>
    <PartyID>2</PartyID>
    <PartyTypeID>1</PartyTypeID>
    <DecisionID>0</DecisionID>
    <StreetName>הרב עוזיאל 4</StreetName>
    <CityName>תל אביב -יפו</CityName>
    <FullName>גיא  אלתגר</FullName>
    <IsPublicationProhibited>false</IsPublicationProhibited>
  </dt_LegalEntityDetails>
  <dt_CaseJudicalPersonActive>
    <CaseJudicalPerson>שופטת קרן גיל</CaseJudicalPerson>
  </dt_CaseJudicalPersonActive>
  <dt_Sitting>
    <FutureSittingDate>2024-09-23T10:00:00+03:00</FutureSittingDate>
    <PreviousMeetingDate>2024-04-03T12:00:00+03:00</PreviousMeetingDate>
    <NextSittingTypeID>5</NextSittingTypeID>
    <PreviousSittingTypeID>5</PreviousSittingTypeID>
    <NextMeetingDisplayName>שופטת קרן גיל</NextMeetingDisplayName>
    <NextMeetingRoleName>שופט</NextMeetingRoleName>
    <NextMeetingUserTitleName>שופטת</NextMeetingUserTitleName>
    <NextMeetingUserUPN>038331781@GOV.IL</NextMeetingUserUPN>
    <PreviousMeetingDisplayName>שופטת קרן גיל</PreviousMeetingDisplayName>
    <PreviousMeetingRoleName>שופט</PreviousMeetingRoleName>
    <PreviousMeetingUserTitleName>שופטת</PreviousMeetingUserTitleName>
    <PreviousMeetingUserUPN>038331781@GOV.IL</PreviousMeetingUserUPN>
  </dt_Sitting>
</DecisionTemplateDS>
</file>

<file path=customXml/itemProps1.xml><?xml version="1.0" encoding="utf-8"?>
<ds:datastoreItem xmlns:ds="http://schemas.openxmlformats.org/officeDocument/2006/customXml" ds:itemID="{BF69107A-19A7-41CF-8EFB-C13C5A288B84}">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2914</Words>
  <Characters>14574</Characters>
  <Application>Microsoft Office Word</Application>
  <DocSecurity>0</DocSecurity>
  <Lines>121</Lines>
  <Paragraphs>34</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17454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2024-08-08T07:18:00Z</dcterms:created>
  <dcterms:modified xsi:type="dcterms:W3CDTF">2024-08-08T07:18:00Z</dcterms:modified>
</cp:coreProperties>
</file>